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74D9AC" w14:textId="54AC86D4" w:rsidR="003404EF" w:rsidRPr="003404EF" w:rsidRDefault="003404EF" w:rsidP="003404EF">
      <w:pPr>
        <w:spacing w:before="100" w:beforeAutospacing="1" w:after="150" w:line="300" w:lineRule="atLeast"/>
        <w:outlineLvl w:val="1"/>
        <w:rPr>
          <w:rFonts w:ascii="Verdana" w:eastAsia="Times New Roman" w:hAnsi="Verdana" w:cs="Times New Roman"/>
          <w:b/>
          <w:bCs/>
          <w:color w:val="000000"/>
          <w:sz w:val="18"/>
          <w:szCs w:val="18"/>
        </w:rPr>
      </w:pPr>
    </w:p>
    <w:tbl>
      <w:tblPr>
        <w:tblW w:w="5000" w:type="pct"/>
        <w:tblCellSpacing w:w="30" w:type="dxa"/>
        <w:tblCellMar>
          <w:left w:w="0" w:type="dxa"/>
          <w:right w:w="0" w:type="dxa"/>
        </w:tblCellMar>
        <w:tblLook w:val="04A0" w:firstRow="1" w:lastRow="0" w:firstColumn="1" w:lastColumn="0" w:noHBand="0" w:noVBand="1"/>
      </w:tblPr>
      <w:tblGrid>
        <w:gridCol w:w="9360"/>
      </w:tblGrid>
      <w:tr w:rsidR="003404EF" w:rsidRPr="003404EF" w14:paraId="453BE032" w14:textId="77777777" w:rsidTr="003404EF">
        <w:trPr>
          <w:tblCellSpacing w:w="30" w:type="dxa"/>
        </w:trPr>
        <w:tc>
          <w:tcPr>
            <w:tcW w:w="4936" w:type="pct"/>
            <w:hideMark/>
          </w:tcPr>
          <w:p w14:paraId="43839868" w14:textId="2659AAB2" w:rsidR="003404EF" w:rsidRPr="003404EF" w:rsidRDefault="003404EF" w:rsidP="003404EF">
            <w:pPr>
              <w:spacing w:after="0" w:line="315" w:lineRule="atLeast"/>
              <w:rPr>
                <w:rFonts w:ascii="Verdana" w:eastAsia="Times New Roman" w:hAnsi="Verdana" w:cs="Times New Roman"/>
                <w:color w:val="000000"/>
                <w:sz w:val="18"/>
                <w:szCs w:val="18"/>
              </w:rPr>
            </w:pPr>
            <w:r w:rsidRPr="003404EF">
              <w:rPr>
                <w:rFonts w:ascii="Verdana" w:eastAsia="Times New Roman" w:hAnsi="Verdana" w:cs="Times New Roman"/>
                <w:b/>
                <w:bCs/>
                <w:color w:val="000000"/>
                <w:sz w:val="18"/>
                <w:szCs w:val="18"/>
              </w:rPr>
              <w:t>Problem 18-01</w:t>
            </w:r>
            <w:r w:rsidRPr="003404EF">
              <w:rPr>
                <w:rFonts w:ascii="Verdana" w:eastAsia="Times New Roman" w:hAnsi="Verdana" w:cs="Times New Roman"/>
                <w:color w:val="000000"/>
                <w:sz w:val="18"/>
                <w:szCs w:val="18"/>
              </w:rPr>
              <w:t xml:space="preserve"> </w:t>
            </w:r>
            <w:r w:rsidRPr="003404EF">
              <w:rPr>
                <w:rFonts w:ascii="Verdana" w:eastAsia="Times New Roman" w:hAnsi="Verdana" w:cs="Times New Roman"/>
                <w:color w:val="000000"/>
                <w:sz w:val="18"/>
                <w:szCs w:val="18"/>
              </w:rPr>
              <w:br/>
              <w:t>Profit or Loss on New Stock Issue</w:t>
            </w:r>
          </w:p>
          <w:p w14:paraId="2A7A9E2E" w14:textId="77777777" w:rsidR="003404EF" w:rsidRPr="003404EF" w:rsidRDefault="003404EF" w:rsidP="003404EF">
            <w:pPr>
              <w:spacing w:before="100" w:beforeAutospacing="1" w:after="100" w:afterAutospacing="1" w:line="315" w:lineRule="atLeas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 xml:space="preserve">Security Brokers Inc. specializes in underwriting new issues by small firms. On a recent offering of </w:t>
            </w:r>
            <w:proofErr w:type="spellStart"/>
            <w:r w:rsidRPr="003404EF">
              <w:rPr>
                <w:rFonts w:ascii="Verdana" w:eastAsia="Times New Roman" w:hAnsi="Verdana" w:cs="Times New Roman"/>
                <w:color w:val="000000"/>
                <w:sz w:val="18"/>
                <w:szCs w:val="18"/>
              </w:rPr>
              <w:t>Beedles</w:t>
            </w:r>
            <w:proofErr w:type="spellEnd"/>
            <w:r w:rsidRPr="003404EF">
              <w:rPr>
                <w:rFonts w:ascii="Verdana" w:eastAsia="Times New Roman" w:hAnsi="Verdana" w:cs="Times New Roman"/>
                <w:color w:val="000000"/>
                <w:sz w:val="18"/>
                <w:szCs w:val="18"/>
              </w:rPr>
              <w:t xml:space="preserve"> Inc., the terms were as follows: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45"/>
              <w:gridCol w:w="1545"/>
            </w:tblGrid>
            <w:tr w:rsidR="003404EF" w:rsidRPr="003404EF" w14:paraId="7A044027" w14:textId="77777777" w:rsidTr="003404EF">
              <w:trPr>
                <w:tblCellSpacing w:w="15" w:type="dxa"/>
              </w:trPr>
              <w:tc>
                <w:tcPr>
                  <w:tcW w:w="2100" w:type="dxa"/>
                  <w:hideMark/>
                </w:tcPr>
                <w:p w14:paraId="3D1320BB" w14:textId="77777777" w:rsidR="003404EF" w:rsidRPr="003404EF" w:rsidRDefault="003404EF" w:rsidP="003404EF">
                  <w:pPr>
                    <w:spacing w:after="0" w:line="315" w:lineRule="atLeas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 xml:space="preserve">Price to public: </w:t>
                  </w:r>
                </w:p>
              </w:tc>
              <w:tc>
                <w:tcPr>
                  <w:tcW w:w="1500" w:type="dxa"/>
                  <w:hideMark/>
                </w:tcPr>
                <w:p w14:paraId="21DB6D7E" w14:textId="77777777" w:rsidR="003404EF" w:rsidRPr="003404EF" w:rsidRDefault="003404EF" w:rsidP="003404EF">
                  <w:pPr>
                    <w:spacing w:after="0" w:line="315" w:lineRule="atLeast"/>
                    <w:jc w:val="center"/>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 xml:space="preserve">$5 per share </w:t>
                  </w:r>
                </w:p>
              </w:tc>
            </w:tr>
            <w:tr w:rsidR="003404EF" w:rsidRPr="003404EF" w14:paraId="2F65E32F" w14:textId="77777777" w:rsidTr="003404EF">
              <w:trPr>
                <w:tblCellSpacing w:w="15" w:type="dxa"/>
              </w:trPr>
              <w:tc>
                <w:tcPr>
                  <w:tcW w:w="2100" w:type="dxa"/>
                  <w:hideMark/>
                </w:tcPr>
                <w:p w14:paraId="101E2004" w14:textId="77777777" w:rsidR="003404EF" w:rsidRPr="003404EF" w:rsidRDefault="003404EF" w:rsidP="003404EF">
                  <w:pPr>
                    <w:spacing w:after="0" w:line="315" w:lineRule="atLeas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 xml:space="preserve">Number of shares: </w:t>
                  </w:r>
                </w:p>
              </w:tc>
              <w:tc>
                <w:tcPr>
                  <w:tcW w:w="1500" w:type="dxa"/>
                  <w:hideMark/>
                </w:tcPr>
                <w:p w14:paraId="6EBEF911" w14:textId="77777777" w:rsidR="003404EF" w:rsidRPr="003404EF" w:rsidRDefault="003404EF" w:rsidP="003404EF">
                  <w:pPr>
                    <w:spacing w:after="0" w:line="315" w:lineRule="atLeast"/>
                    <w:jc w:val="center"/>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 xml:space="preserve">3 million </w:t>
                  </w:r>
                </w:p>
              </w:tc>
            </w:tr>
            <w:tr w:rsidR="003404EF" w:rsidRPr="003404EF" w14:paraId="720FC8ED" w14:textId="77777777" w:rsidTr="003404EF">
              <w:trPr>
                <w:tblCellSpacing w:w="15" w:type="dxa"/>
              </w:trPr>
              <w:tc>
                <w:tcPr>
                  <w:tcW w:w="2100" w:type="dxa"/>
                  <w:hideMark/>
                </w:tcPr>
                <w:p w14:paraId="72C94C07" w14:textId="77777777" w:rsidR="003404EF" w:rsidRPr="003404EF" w:rsidRDefault="003404EF" w:rsidP="003404EF">
                  <w:pPr>
                    <w:spacing w:after="0" w:line="315" w:lineRule="atLeas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 xml:space="preserve">Proceeds to </w:t>
                  </w:r>
                  <w:proofErr w:type="spellStart"/>
                  <w:r w:rsidRPr="003404EF">
                    <w:rPr>
                      <w:rFonts w:ascii="Verdana" w:eastAsia="Times New Roman" w:hAnsi="Verdana" w:cs="Times New Roman"/>
                      <w:color w:val="000000"/>
                      <w:sz w:val="18"/>
                      <w:szCs w:val="18"/>
                    </w:rPr>
                    <w:t>Beedles</w:t>
                  </w:r>
                  <w:proofErr w:type="spellEnd"/>
                  <w:r w:rsidRPr="003404EF">
                    <w:rPr>
                      <w:rFonts w:ascii="Verdana" w:eastAsia="Times New Roman" w:hAnsi="Verdana" w:cs="Times New Roman"/>
                      <w:color w:val="000000"/>
                      <w:sz w:val="18"/>
                      <w:szCs w:val="18"/>
                    </w:rPr>
                    <w:t xml:space="preserve">: </w:t>
                  </w:r>
                </w:p>
              </w:tc>
              <w:tc>
                <w:tcPr>
                  <w:tcW w:w="1500" w:type="dxa"/>
                  <w:hideMark/>
                </w:tcPr>
                <w:p w14:paraId="2F768D19" w14:textId="77777777" w:rsidR="003404EF" w:rsidRPr="003404EF" w:rsidRDefault="003404EF" w:rsidP="003404EF">
                  <w:pPr>
                    <w:spacing w:after="0" w:line="315" w:lineRule="atLeast"/>
                    <w:jc w:val="center"/>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 xml:space="preserve">$14,000,000 </w:t>
                  </w:r>
                </w:p>
              </w:tc>
            </w:tr>
          </w:tbl>
          <w:p w14:paraId="629C2BEC" w14:textId="77777777" w:rsidR="003404EF" w:rsidRPr="003404EF" w:rsidRDefault="003404EF" w:rsidP="003404EF">
            <w:pPr>
              <w:spacing w:before="100" w:beforeAutospacing="1" w:after="100" w:afterAutospacing="1" w:line="315" w:lineRule="atLeas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The out-of-pocket expenses incurred by Security Brokers in the design and distribution of the issue were $430,000. What profit or loss would Security Brokers incur if the issue were sold to the public at the following average price?</w:t>
            </w:r>
          </w:p>
          <w:p w14:paraId="1C4DF872" w14:textId="7C232F44" w:rsidR="003404EF" w:rsidRPr="003404EF" w:rsidRDefault="003404EF" w:rsidP="003404EF">
            <w:pPr>
              <w:numPr>
                <w:ilvl w:val="0"/>
                <w:numId w:val="2"/>
              </w:numPr>
              <w:spacing w:after="240" w:line="220" w:lineRule="atLeast"/>
              <w:ind w:left="1020"/>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 xml:space="preserve">$5 per share? Use minus sign to enter loss, if any. </w:t>
            </w:r>
            <w:r w:rsidRPr="003404EF">
              <w:rPr>
                <w:rFonts w:ascii="Verdana" w:eastAsia="Times New Roman" w:hAnsi="Verdana" w:cs="Times New Roman"/>
                <w:color w:val="000000"/>
                <w:sz w:val="18"/>
                <w:szCs w:val="18"/>
              </w:rPr>
              <w:br/>
              <w:t>$</w:t>
            </w:r>
            <w:r w:rsidRPr="003404EF">
              <w:rPr>
                <w:rFonts w:ascii="Verdana" w:eastAsia="Times New Roman" w:hAnsi="Verdana" w:cs="Times New Roman"/>
                <w:b/>
                <w:bCs/>
                <w:color w:val="000000"/>
                <w:sz w:val="18"/>
                <w:szCs w:val="18"/>
              </w:rPr>
              <w:object w:dxaOrig="1440" w:dyaOrig="1440" w14:anchorId="28BE1A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42pt;height:18pt" o:ole="">
                  <v:imagedata r:id="rId5" o:title=""/>
                </v:shape>
                <w:control r:id="rId6" w:name="DefaultOcxName" w:shapeid="_x0000_i1033"/>
              </w:object>
            </w:r>
            <w:r w:rsidRPr="003404EF">
              <w:rPr>
                <w:rFonts w:ascii="Verdana" w:eastAsia="Times New Roman" w:hAnsi="Verdana" w:cs="Times New Roman"/>
                <w:b/>
                <w:bCs/>
                <w:color w:val="000000"/>
                <w:sz w:val="18"/>
                <w:szCs w:val="18"/>
              </w:rPr>
              <w:t xml:space="preserve"> </w:t>
            </w:r>
          </w:p>
          <w:p w14:paraId="7640DC9E" w14:textId="77777777" w:rsidR="003404EF" w:rsidRPr="003404EF" w:rsidRDefault="003404EF" w:rsidP="003404EF">
            <w:pPr>
              <w:numPr>
                <w:ilvl w:val="0"/>
                <w:numId w:val="2"/>
              </w:numPr>
              <w:spacing w:after="240" w:line="220" w:lineRule="atLeast"/>
              <w:ind w:left="1020"/>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 xml:space="preserve">$6 per share? Use minus sign to enter loss, if any. </w:t>
            </w:r>
            <w:r w:rsidRPr="003404EF">
              <w:rPr>
                <w:rFonts w:ascii="Verdana" w:eastAsia="Times New Roman" w:hAnsi="Verdana" w:cs="Times New Roman"/>
                <w:color w:val="000000"/>
                <w:sz w:val="18"/>
                <w:szCs w:val="18"/>
              </w:rPr>
              <w:br/>
              <w:t>$</w:t>
            </w:r>
            <w:r w:rsidRPr="003404EF">
              <w:rPr>
                <w:rFonts w:ascii="Verdana" w:eastAsia="Times New Roman" w:hAnsi="Verdana" w:cs="Times New Roman"/>
                <w:b/>
                <w:bCs/>
                <w:color w:val="000000"/>
                <w:sz w:val="18"/>
                <w:szCs w:val="18"/>
              </w:rPr>
              <w:object w:dxaOrig="1440" w:dyaOrig="1440" w14:anchorId="2013029F">
                <v:shape id="_x0000_i1032" type="#_x0000_t75" style="width:42pt;height:18pt" o:ole="">
                  <v:imagedata r:id="rId5" o:title=""/>
                </v:shape>
                <w:control r:id="rId7" w:name="DefaultOcxName1" w:shapeid="_x0000_i1032"/>
              </w:object>
            </w:r>
            <w:r w:rsidRPr="003404EF">
              <w:rPr>
                <w:rFonts w:ascii="Verdana" w:eastAsia="Times New Roman" w:hAnsi="Verdana" w:cs="Times New Roman"/>
                <w:b/>
                <w:bCs/>
                <w:color w:val="000000"/>
                <w:sz w:val="18"/>
                <w:szCs w:val="18"/>
              </w:rPr>
              <w:t xml:space="preserve"> </w:t>
            </w:r>
          </w:p>
          <w:p w14:paraId="315C83DF" w14:textId="77777777" w:rsidR="003404EF" w:rsidRPr="003404EF" w:rsidRDefault="003404EF" w:rsidP="003404EF">
            <w:pPr>
              <w:numPr>
                <w:ilvl w:val="0"/>
                <w:numId w:val="2"/>
              </w:numPr>
              <w:spacing w:after="0" w:line="220" w:lineRule="atLeast"/>
              <w:ind w:left="1020"/>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 xml:space="preserve">$3.75 per share? Use minus sign to enter loss, if any. </w:t>
            </w:r>
            <w:r w:rsidRPr="003404EF">
              <w:rPr>
                <w:rFonts w:ascii="Verdana" w:eastAsia="Times New Roman" w:hAnsi="Verdana" w:cs="Times New Roman"/>
                <w:color w:val="000000"/>
                <w:sz w:val="18"/>
                <w:szCs w:val="18"/>
              </w:rPr>
              <w:br/>
              <w:t>$</w:t>
            </w:r>
            <w:r w:rsidRPr="003404EF">
              <w:rPr>
                <w:rFonts w:ascii="Verdana" w:eastAsia="Times New Roman" w:hAnsi="Verdana" w:cs="Times New Roman"/>
                <w:b/>
                <w:bCs/>
                <w:color w:val="000000"/>
                <w:sz w:val="18"/>
                <w:szCs w:val="18"/>
              </w:rPr>
              <w:object w:dxaOrig="1440" w:dyaOrig="1440" w14:anchorId="14584D14">
                <v:shape id="_x0000_i1031" type="#_x0000_t75" style="width:42pt;height:18pt" o:ole="">
                  <v:imagedata r:id="rId5" o:title=""/>
                </v:shape>
                <w:control r:id="rId8" w:name="DefaultOcxName2" w:shapeid="_x0000_i1031"/>
              </w:object>
            </w:r>
            <w:r w:rsidRPr="003404EF">
              <w:rPr>
                <w:rFonts w:ascii="Verdana" w:eastAsia="Times New Roman" w:hAnsi="Verdana" w:cs="Times New Roman"/>
                <w:b/>
                <w:bCs/>
                <w:color w:val="000000"/>
                <w:sz w:val="18"/>
                <w:szCs w:val="18"/>
              </w:rPr>
              <w:t xml:space="preserve"> </w:t>
            </w:r>
          </w:p>
        </w:tc>
      </w:tr>
    </w:tbl>
    <w:p w14:paraId="24836192" w14:textId="77777777" w:rsidR="003404EF" w:rsidRDefault="003404EF" w:rsidP="003404EF">
      <w:pPr>
        <w:spacing w:before="100" w:beforeAutospacing="1" w:after="100" w:afterAutospacing="1" w:line="315" w:lineRule="atLeast"/>
        <w:rPr>
          <w:rFonts w:ascii="Verdana" w:eastAsia="Times New Roman" w:hAnsi="Verdana" w:cs="Times New Roman"/>
          <w:b/>
          <w:bCs/>
          <w:color w:val="000000"/>
          <w:sz w:val="18"/>
          <w:szCs w:val="18"/>
        </w:rPr>
      </w:pPr>
    </w:p>
    <w:p w14:paraId="235AF062" w14:textId="77777777" w:rsidR="003404EF" w:rsidRDefault="003404EF" w:rsidP="003404EF">
      <w:pPr>
        <w:spacing w:before="100" w:beforeAutospacing="1" w:after="100" w:afterAutospacing="1" w:line="315" w:lineRule="atLeast"/>
        <w:rPr>
          <w:rFonts w:ascii="Verdana" w:eastAsia="Times New Roman" w:hAnsi="Verdana" w:cs="Times New Roman"/>
          <w:b/>
          <w:bCs/>
          <w:color w:val="000000"/>
          <w:sz w:val="18"/>
          <w:szCs w:val="18"/>
        </w:rPr>
      </w:pPr>
    </w:p>
    <w:p w14:paraId="7D3C560D" w14:textId="77777777" w:rsidR="003404EF" w:rsidRDefault="003404EF" w:rsidP="003404EF">
      <w:pPr>
        <w:spacing w:before="100" w:beforeAutospacing="1" w:after="100" w:afterAutospacing="1" w:line="315" w:lineRule="atLeast"/>
        <w:rPr>
          <w:rFonts w:ascii="Verdana" w:eastAsia="Times New Roman" w:hAnsi="Verdana" w:cs="Times New Roman"/>
          <w:b/>
          <w:bCs/>
          <w:color w:val="000000"/>
          <w:sz w:val="18"/>
          <w:szCs w:val="18"/>
        </w:rPr>
      </w:pPr>
    </w:p>
    <w:p w14:paraId="3081D031" w14:textId="77777777" w:rsidR="003404EF" w:rsidRDefault="003404EF" w:rsidP="003404EF">
      <w:pPr>
        <w:spacing w:before="100" w:beforeAutospacing="1" w:after="100" w:afterAutospacing="1" w:line="315" w:lineRule="atLeast"/>
        <w:rPr>
          <w:rFonts w:ascii="Verdana" w:eastAsia="Times New Roman" w:hAnsi="Verdana" w:cs="Times New Roman"/>
          <w:b/>
          <w:bCs/>
          <w:color w:val="000000"/>
          <w:sz w:val="18"/>
          <w:szCs w:val="18"/>
        </w:rPr>
      </w:pPr>
    </w:p>
    <w:p w14:paraId="0BE1B1E7" w14:textId="77777777" w:rsidR="003404EF" w:rsidRDefault="003404EF" w:rsidP="003404EF">
      <w:pPr>
        <w:spacing w:before="100" w:beforeAutospacing="1" w:after="100" w:afterAutospacing="1" w:line="315" w:lineRule="atLeast"/>
        <w:rPr>
          <w:rFonts w:ascii="Verdana" w:eastAsia="Times New Roman" w:hAnsi="Verdana" w:cs="Times New Roman"/>
          <w:b/>
          <w:bCs/>
          <w:color w:val="000000"/>
          <w:sz w:val="18"/>
          <w:szCs w:val="18"/>
        </w:rPr>
      </w:pPr>
    </w:p>
    <w:p w14:paraId="04221B25" w14:textId="77777777" w:rsidR="003404EF" w:rsidRDefault="003404EF" w:rsidP="003404EF">
      <w:pPr>
        <w:spacing w:before="100" w:beforeAutospacing="1" w:after="100" w:afterAutospacing="1" w:line="315" w:lineRule="atLeast"/>
        <w:rPr>
          <w:rFonts w:ascii="Verdana" w:eastAsia="Times New Roman" w:hAnsi="Verdana" w:cs="Times New Roman"/>
          <w:b/>
          <w:bCs/>
          <w:color w:val="000000"/>
          <w:sz w:val="18"/>
          <w:szCs w:val="18"/>
        </w:rPr>
      </w:pPr>
    </w:p>
    <w:p w14:paraId="359E5A5B" w14:textId="77777777" w:rsidR="003404EF" w:rsidRDefault="003404EF" w:rsidP="003404EF">
      <w:pPr>
        <w:spacing w:before="100" w:beforeAutospacing="1" w:after="100" w:afterAutospacing="1" w:line="315" w:lineRule="atLeast"/>
        <w:rPr>
          <w:rFonts w:ascii="Verdana" w:eastAsia="Times New Roman" w:hAnsi="Verdana" w:cs="Times New Roman"/>
          <w:b/>
          <w:bCs/>
          <w:color w:val="000000"/>
          <w:sz w:val="18"/>
          <w:szCs w:val="18"/>
        </w:rPr>
      </w:pPr>
    </w:p>
    <w:p w14:paraId="0B0B3313" w14:textId="77777777" w:rsidR="003404EF" w:rsidRDefault="003404EF" w:rsidP="003404EF">
      <w:pPr>
        <w:spacing w:before="100" w:beforeAutospacing="1" w:after="100" w:afterAutospacing="1" w:line="315" w:lineRule="atLeast"/>
        <w:rPr>
          <w:rFonts w:ascii="Verdana" w:eastAsia="Times New Roman" w:hAnsi="Verdana" w:cs="Times New Roman"/>
          <w:b/>
          <w:bCs/>
          <w:color w:val="000000"/>
          <w:sz w:val="18"/>
          <w:szCs w:val="18"/>
        </w:rPr>
      </w:pPr>
    </w:p>
    <w:p w14:paraId="0A565B1C" w14:textId="16FD35F2" w:rsidR="003404EF" w:rsidRPr="003404EF" w:rsidRDefault="003404EF" w:rsidP="003404EF">
      <w:pPr>
        <w:spacing w:before="100" w:beforeAutospacing="1" w:after="100" w:afterAutospacing="1" w:line="315" w:lineRule="atLeast"/>
        <w:rPr>
          <w:rFonts w:ascii="Verdana" w:eastAsia="Times New Roman" w:hAnsi="Verdana" w:cs="Times New Roman"/>
          <w:color w:val="000000"/>
          <w:sz w:val="18"/>
          <w:szCs w:val="18"/>
        </w:rPr>
      </w:pPr>
      <w:r w:rsidRPr="003404EF">
        <w:rPr>
          <w:rFonts w:ascii="Verdana" w:eastAsia="Times New Roman" w:hAnsi="Verdana" w:cs="Times New Roman"/>
          <w:b/>
          <w:bCs/>
          <w:color w:val="000000"/>
          <w:sz w:val="18"/>
          <w:szCs w:val="18"/>
        </w:rPr>
        <w:lastRenderedPageBreak/>
        <w:t>Problem 18-07</w:t>
      </w:r>
      <w:r w:rsidRPr="003404EF">
        <w:rPr>
          <w:rFonts w:ascii="Verdana" w:eastAsia="Times New Roman" w:hAnsi="Verdana" w:cs="Times New Roman"/>
          <w:color w:val="000000"/>
          <w:sz w:val="18"/>
          <w:szCs w:val="18"/>
        </w:rPr>
        <w:t xml:space="preserve"> </w:t>
      </w:r>
      <w:r w:rsidRPr="003404EF">
        <w:rPr>
          <w:rFonts w:ascii="Verdana" w:eastAsia="Times New Roman" w:hAnsi="Verdana" w:cs="Times New Roman"/>
          <w:color w:val="000000"/>
          <w:sz w:val="18"/>
          <w:szCs w:val="18"/>
        </w:rPr>
        <w:br/>
        <w:t>Refunding Analysis</w:t>
      </w:r>
    </w:p>
    <w:p w14:paraId="2DF1F313" w14:textId="77777777" w:rsidR="003404EF" w:rsidRPr="003404EF" w:rsidRDefault="003404EF" w:rsidP="003404EF">
      <w:pPr>
        <w:spacing w:before="100" w:beforeAutospacing="1" w:after="100" w:afterAutospacing="1" w:line="315" w:lineRule="atLeas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 xml:space="preserve">Mullet Technologies is considering </w:t>
      </w:r>
      <w:proofErr w:type="gramStart"/>
      <w:r w:rsidRPr="003404EF">
        <w:rPr>
          <w:rFonts w:ascii="Verdana" w:eastAsia="Times New Roman" w:hAnsi="Verdana" w:cs="Times New Roman"/>
          <w:color w:val="000000"/>
          <w:sz w:val="18"/>
          <w:szCs w:val="18"/>
        </w:rPr>
        <w:t>whether or not</w:t>
      </w:r>
      <w:proofErr w:type="gramEnd"/>
      <w:r w:rsidRPr="003404EF">
        <w:rPr>
          <w:rFonts w:ascii="Verdana" w:eastAsia="Times New Roman" w:hAnsi="Verdana" w:cs="Times New Roman"/>
          <w:color w:val="000000"/>
          <w:sz w:val="18"/>
          <w:szCs w:val="18"/>
        </w:rPr>
        <w:t xml:space="preserve"> to refund a $200 million, 12% coupon, 30-year bond issue that was sold 5 years ago. It is amortizing $3 million of flotation costs on the 12% bonds over the issue's 30-year life. Mullet's investment banks have indicated that the company could sell a new 25-year issue at an interest rate of 11% in today's market. Neither they nor Mullet's management anticipate that interest rates will fall below 11% any time soon, but there is a chance that rates will increase.</w:t>
      </w:r>
    </w:p>
    <w:p w14:paraId="3606F8B1" w14:textId="77777777" w:rsidR="003404EF" w:rsidRPr="003404EF" w:rsidRDefault="003404EF" w:rsidP="003404EF">
      <w:pPr>
        <w:spacing w:before="100" w:beforeAutospacing="1" w:after="100" w:afterAutospacing="1" w:line="315" w:lineRule="atLeas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A call premium of 8% would be required to retire the old bonds, and flotation costs on the new issue would amount to $4 million. Mullet's marginal federal-plus-state tax rate is 40%. The new bonds would be issued 1 month before the old bonds are called, with the proceeds being invested in short-term government securities returning 5% annually during the interim period.</w:t>
      </w:r>
    </w:p>
    <w:p w14:paraId="447F8182" w14:textId="77777777" w:rsidR="003404EF" w:rsidRPr="003404EF" w:rsidRDefault="003404EF" w:rsidP="003404EF">
      <w:pPr>
        <w:numPr>
          <w:ilvl w:val="0"/>
          <w:numId w:val="3"/>
        </w:numPr>
        <w:spacing w:after="100" w:afterAutospacing="1" w:line="315" w:lineRule="atLeast"/>
        <w:ind w:left="1020"/>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Conduct a complete bond refunding analysis. What is the bond refunding's NPV? Do not round intermediate calculations. Round your answer to the nearest cent.</w:t>
      </w:r>
    </w:p>
    <w:p w14:paraId="6A981E95" w14:textId="34D965B0" w:rsidR="003404EF" w:rsidRPr="003404EF" w:rsidRDefault="003404EF" w:rsidP="003404EF">
      <w:pPr>
        <w:spacing w:after="0" w:line="315" w:lineRule="atLeast"/>
        <w:ind w:left="1020"/>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  </w:t>
      </w:r>
      <w:r w:rsidRPr="003404EF">
        <w:rPr>
          <w:rFonts w:ascii="Verdana" w:eastAsia="Times New Roman" w:hAnsi="Verdana" w:cs="Times New Roman"/>
          <w:color w:val="000000"/>
          <w:sz w:val="18"/>
          <w:szCs w:val="18"/>
          <w:bdr w:val="none" w:sz="0" w:space="0" w:color="auto" w:frame="1"/>
        </w:rPr>
        <w:object w:dxaOrig="1440" w:dyaOrig="1440" w14:anchorId="7CFDF14E">
          <v:shape id="_x0000_i1042" type="#_x0000_t75" style="width:42pt;height:18pt" o:ole="">
            <v:imagedata r:id="rId5" o:title=""/>
          </v:shape>
          <w:control r:id="rId9" w:name="DefaultOcxName3" w:shapeid="_x0000_i1042"/>
        </w:object>
      </w:r>
      <w:r w:rsidRPr="003404EF">
        <w:rPr>
          <w:rFonts w:ascii="Verdana" w:eastAsia="Times New Roman" w:hAnsi="Verdana" w:cs="Times New Roman"/>
          <w:color w:val="000000"/>
          <w:sz w:val="18"/>
          <w:szCs w:val="18"/>
          <w:bdr w:val="none" w:sz="0" w:space="0" w:color="auto" w:frame="1"/>
        </w:rPr>
        <w:t xml:space="preserve"> </w:t>
      </w:r>
    </w:p>
    <w:p w14:paraId="68DA2978" w14:textId="77777777" w:rsidR="003404EF" w:rsidRPr="003404EF" w:rsidRDefault="003404EF" w:rsidP="003404EF">
      <w:pPr>
        <w:spacing w:after="0" w:line="220" w:lineRule="atLeast"/>
        <w:ind w:left="1020"/>
        <w:rPr>
          <w:rFonts w:ascii="Verdana" w:eastAsia="Times New Roman" w:hAnsi="Verdana" w:cs="Times New Roman"/>
          <w:color w:val="000000"/>
          <w:sz w:val="18"/>
          <w:szCs w:val="18"/>
        </w:rPr>
      </w:pPr>
    </w:p>
    <w:p w14:paraId="1475DDA7" w14:textId="77777777" w:rsidR="003404EF" w:rsidRPr="003404EF" w:rsidRDefault="003404EF" w:rsidP="003404EF">
      <w:pPr>
        <w:numPr>
          <w:ilvl w:val="0"/>
          <w:numId w:val="3"/>
        </w:numPr>
        <w:spacing w:after="100" w:afterAutospacing="1" w:line="315" w:lineRule="atLeast"/>
        <w:ind w:left="1020"/>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What factors would influence Mullet's decision to refund now rather than later?</w:t>
      </w:r>
    </w:p>
    <w:p w14:paraId="08C50937" w14:textId="18EED671" w:rsidR="003404EF" w:rsidRPr="003404EF" w:rsidRDefault="003404EF" w:rsidP="003404EF">
      <w:pPr>
        <w:spacing w:after="0" w:line="220" w:lineRule="atLeast"/>
        <w:ind w:left="1020"/>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object w:dxaOrig="1440" w:dyaOrig="1440" w14:anchorId="351F3C3A">
          <v:shape id="_x0000_i1041" type="#_x0000_t75" style="width:211.5pt;height:60.75pt" o:ole="">
            <v:imagedata r:id="rId10" o:title=""/>
          </v:shape>
          <w:control r:id="rId11" w:name="DefaultOcxName11" w:shapeid="_x0000_i1041"/>
        </w:object>
      </w:r>
    </w:p>
    <w:p w14:paraId="2514C45E" w14:textId="47B30F2F" w:rsidR="008B3952" w:rsidRDefault="008B3952"/>
    <w:p w14:paraId="52F1D776" w14:textId="77777777" w:rsidR="003404EF" w:rsidRDefault="003404EF" w:rsidP="003404EF">
      <w:pPr>
        <w:pStyle w:val="NormalWeb"/>
        <w:spacing w:line="315" w:lineRule="atLeast"/>
        <w:rPr>
          <w:rFonts w:ascii="Verdana" w:hAnsi="Verdana"/>
          <w:color w:val="000000"/>
          <w:sz w:val="18"/>
          <w:szCs w:val="18"/>
        </w:rPr>
      </w:pPr>
      <w:r>
        <w:rPr>
          <w:rStyle w:val="Strong"/>
          <w:rFonts w:ascii="Verdana" w:hAnsi="Verdana"/>
          <w:color w:val="000000"/>
          <w:sz w:val="18"/>
          <w:szCs w:val="18"/>
        </w:rPr>
        <w:t>Problem 22-03</w:t>
      </w:r>
      <w:r>
        <w:rPr>
          <w:rFonts w:ascii="Verdana" w:hAnsi="Verdana"/>
          <w:color w:val="000000"/>
          <w:sz w:val="18"/>
          <w:szCs w:val="18"/>
        </w:rPr>
        <w:t xml:space="preserve"> </w:t>
      </w:r>
      <w:r>
        <w:rPr>
          <w:rFonts w:ascii="Verdana" w:hAnsi="Verdana"/>
          <w:color w:val="000000"/>
          <w:sz w:val="18"/>
          <w:szCs w:val="18"/>
        </w:rPr>
        <w:br/>
        <w:t>Merger Bid</w:t>
      </w:r>
    </w:p>
    <w:p w14:paraId="22E3AE7F" w14:textId="77777777" w:rsidR="003404EF" w:rsidRDefault="003404EF" w:rsidP="003404EF">
      <w:pPr>
        <w:pStyle w:val="NormalWeb"/>
        <w:spacing w:line="315" w:lineRule="atLeast"/>
        <w:rPr>
          <w:rFonts w:ascii="Verdana" w:hAnsi="Verdana"/>
          <w:color w:val="000000"/>
          <w:sz w:val="18"/>
          <w:szCs w:val="18"/>
        </w:rPr>
      </w:pPr>
      <w:r>
        <w:rPr>
          <w:rFonts w:ascii="Verdana" w:hAnsi="Verdana"/>
          <w:color w:val="000000"/>
          <w:sz w:val="18"/>
          <w:szCs w:val="18"/>
        </w:rPr>
        <w:t xml:space="preserve">Hastings Corporation is interested in acquiring </w:t>
      </w:r>
      <w:proofErr w:type="spellStart"/>
      <w:r>
        <w:rPr>
          <w:rFonts w:ascii="Verdana" w:hAnsi="Verdana"/>
          <w:color w:val="000000"/>
          <w:sz w:val="18"/>
          <w:szCs w:val="18"/>
        </w:rPr>
        <w:t>Vandell</w:t>
      </w:r>
      <w:proofErr w:type="spellEnd"/>
      <w:r>
        <w:rPr>
          <w:rFonts w:ascii="Verdana" w:hAnsi="Verdana"/>
          <w:color w:val="000000"/>
          <w:sz w:val="18"/>
          <w:szCs w:val="18"/>
        </w:rPr>
        <w:t xml:space="preserve"> Corporation. </w:t>
      </w:r>
      <w:proofErr w:type="spellStart"/>
      <w:r>
        <w:rPr>
          <w:rFonts w:ascii="Verdana" w:hAnsi="Verdana"/>
          <w:color w:val="000000"/>
          <w:sz w:val="18"/>
          <w:szCs w:val="18"/>
        </w:rPr>
        <w:t>Vandell</w:t>
      </w:r>
      <w:proofErr w:type="spellEnd"/>
      <w:r>
        <w:rPr>
          <w:rFonts w:ascii="Verdana" w:hAnsi="Verdana"/>
          <w:color w:val="000000"/>
          <w:sz w:val="18"/>
          <w:szCs w:val="18"/>
        </w:rPr>
        <w:t xml:space="preserve"> has 1 million shares outstanding and a target capital structure consisting of 30% debt; its beta is 1.50 (given its target capital structure). </w:t>
      </w:r>
      <w:proofErr w:type="spellStart"/>
      <w:r>
        <w:rPr>
          <w:rFonts w:ascii="Verdana" w:hAnsi="Verdana"/>
          <w:color w:val="000000"/>
          <w:sz w:val="18"/>
          <w:szCs w:val="18"/>
        </w:rPr>
        <w:t>Vandell</w:t>
      </w:r>
      <w:proofErr w:type="spellEnd"/>
      <w:r>
        <w:rPr>
          <w:rFonts w:ascii="Verdana" w:hAnsi="Verdana"/>
          <w:color w:val="000000"/>
          <w:sz w:val="18"/>
          <w:szCs w:val="18"/>
        </w:rPr>
        <w:t xml:space="preserve"> has $9.48 million in debt that trades at par and pays an 7.7% interest rate. </w:t>
      </w:r>
      <w:proofErr w:type="spellStart"/>
      <w:r>
        <w:rPr>
          <w:rFonts w:ascii="Verdana" w:hAnsi="Verdana"/>
          <w:color w:val="000000"/>
          <w:sz w:val="18"/>
          <w:szCs w:val="18"/>
        </w:rPr>
        <w:t>Vandell’s</w:t>
      </w:r>
      <w:proofErr w:type="spellEnd"/>
      <w:r>
        <w:rPr>
          <w:rFonts w:ascii="Verdana" w:hAnsi="Verdana"/>
          <w:color w:val="000000"/>
          <w:sz w:val="18"/>
          <w:szCs w:val="18"/>
        </w:rPr>
        <w:t xml:space="preserve"> free cash flow (FCF</w:t>
      </w:r>
      <w:r>
        <w:rPr>
          <w:rFonts w:ascii="Verdana" w:hAnsi="Verdana"/>
          <w:color w:val="000000"/>
          <w:sz w:val="18"/>
          <w:szCs w:val="18"/>
          <w:vertAlign w:val="subscript"/>
        </w:rPr>
        <w:t>0</w:t>
      </w:r>
      <w:r>
        <w:rPr>
          <w:rFonts w:ascii="Verdana" w:hAnsi="Verdana"/>
          <w:color w:val="000000"/>
          <w:sz w:val="18"/>
          <w:szCs w:val="18"/>
        </w:rPr>
        <w:t xml:space="preserve">) is $1 million per year and is expected to grow at a constant rate of 6% a year. Both </w:t>
      </w:r>
      <w:proofErr w:type="spellStart"/>
      <w:r>
        <w:rPr>
          <w:rFonts w:ascii="Verdana" w:hAnsi="Verdana"/>
          <w:color w:val="000000"/>
          <w:sz w:val="18"/>
          <w:szCs w:val="18"/>
        </w:rPr>
        <w:t>Vandell</w:t>
      </w:r>
      <w:proofErr w:type="spellEnd"/>
      <w:r>
        <w:rPr>
          <w:rFonts w:ascii="Verdana" w:hAnsi="Verdana"/>
          <w:color w:val="000000"/>
          <w:sz w:val="18"/>
          <w:szCs w:val="18"/>
        </w:rPr>
        <w:t xml:space="preserve"> and Hastings pay a 30% combined federal and state tax rate. The risk-free rate of interest is 3% and the market risk premium is 6%.</w:t>
      </w:r>
    </w:p>
    <w:p w14:paraId="13AA15CE" w14:textId="77777777" w:rsidR="003404EF" w:rsidRDefault="003404EF" w:rsidP="003404EF">
      <w:pPr>
        <w:pStyle w:val="NormalWeb"/>
        <w:spacing w:line="315" w:lineRule="atLeast"/>
        <w:rPr>
          <w:rFonts w:ascii="Verdana" w:hAnsi="Verdana"/>
          <w:color w:val="000000"/>
          <w:sz w:val="18"/>
          <w:szCs w:val="18"/>
        </w:rPr>
      </w:pPr>
      <w:r>
        <w:rPr>
          <w:rFonts w:ascii="Verdana" w:hAnsi="Verdana"/>
          <w:color w:val="000000"/>
          <w:sz w:val="18"/>
          <w:szCs w:val="18"/>
        </w:rPr>
        <w:t xml:space="preserve">Hastings Corporation estimates that if it acquires </w:t>
      </w:r>
      <w:proofErr w:type="spellStart"/>
      <w:r>
        <w:rPr>
          <w:rFonts w:ascii="Verdana" w:hAnsi="Verdana"/>
          <w:color w:val="000000"/>
          <w:sz w:val="18"/>
          <w:szCs w:val="18"/>
        </w:rPr>
        <w:t>Vandell</w:t>
      </w:r>
      <w:proofErr w:type="spellEnd"/>
      <w:r>
        <w:rPr>
          <w:rFonts w:ascii="Verdana" w:hAnsi="Verdana"/>
          <w:color w:val="000000"/>
          <w:sz w:val="18"/>
          <w:szCs w:val="18"/>
        </w:rPr>
        <w:t xml:space="preserve"> Corporation, synergies will cause </w:t>
      </w:r>
      <w:proofErr w:type="spellStart"/>
      <w:r>
        <w:rPr>
          <w:rFonts w:ascii="Verdana" w:hAnsi="Verdana"/>
          <w:color w:val="000000"/>
          <w:sz w:val="18"/>
          <w:szCs w:val="18"/>
        </w:rPr>
        <w:t>Vandell’s</w:t>
      </w:r>
      <w:proofErr w:type="spellEnd"/>
      <w:r>
        <w:rPr>
          <w:rFonts w:ascii="Verdana" w:hAnsi="Verdana"/>
          <w:color w:val="000000"/>
          <w:sz w:val="18"/>
          <w:szCs w:val="18"/>
        </w:rPr>
        <w:t xml:space="preserve"> free cash flows to be $2.5 million, $3.1 million, $3.4 million, and $3.53 million at Years 1 through 4, respectively, after which the free cash flows will grow at a constant 6% rate. Hastings plans to assume </w:t>
      </w:r>
      <w:proofErr w:type="spellStart"/>
      <w:r>
        <w:rPr>
          <w:rFonts w:ascii="Verdana" w:hAnsi="Verdana"/>
          <w:color w:val="000000"/>
          <w:sz w:val="18"/>
          <w:szCs w:val="18"/>
        </w:rPr>
        <w:t>Vandell’s</w:t>
      </w:r>
      <w:proofErr w:type="spellEnd"/>
      <w:r>
        <w:rPr>
          <w:rFonts w:ascii="Verdana" w:hAnsi="Verdana"/>
          <w:color w:val="000000"/>
          <w:sz w:val="18"/>
          <w:szCs w:val="18"/>
        </w:rPr>
        <w:t xml:space="preserve"> $9.48 million in debt (which has an 7.7% interest rate) and raise additional debt financing at </w:t>
      </w:r>
      <w:r>
        <w:rPr>
          <w:rFonts w:ascii="Verdana" w:hAnsi="Verdana"/>
          <w:color w:val="000000"/>
          <w:sz w:val="18"/>
          <w:szCs w:val="18"/>
        </w:rPr>
        <w:lastRenderedPageBreak/>
        <w:t xml:space="preserve">the time of the acquisition. Hastings estimates that interest payments will be $1.6 million each year for Years 1, 2, and 3. After Year 3, a target capital structure of 30% debt will be maintained. Interest at Year 4 will be $1.442 million, after which the interest and the tax shield will grow at 6%. </w:t>
      </w:r>
    </w:p>
    <w:p w14:paraId="7F13473D" w14:textId="77777777" w:rsidR="003404EF" w:rsidRDefault="003404EF" w:rsidP="003404EF">
      <w:pPr>
        <w:pStyle w:val="NormalWeb"/>
        <w:spacing w:line="315" w:lineRule="atLeast"/>
        <w:rPr>
          <w:rFonts w:ascii="Verdana" w:hAnsi="Verdana"/>
          <w:color w:val="000000"/>
          <w:sz w:val="18"/>
          <w:szCs w:val="18"/>
        </w:rPr>
      </w:pPr>
      <w:r>
        <w:rPr>
          <w:rFonts w:ascii="Verdana" w:hAnsi="Verdana"/>
          <w:color w:val="000000"/>
          <w:sz w:val="18"/>
          <w:szCs w:val="18"/>
        </w:rPr>
        <w:t xml:space="preserve">Indicate the range of possible prices that Hastings could bid for each share of </w:t>
      </w:r>
      <w:proofErr w:type="spellStart"/>
      <w:r>
        <w:rPr>
          <w:rFonts w:ascii="Verdana" w:hAnsi="Verdana"/>
          <w:color w:val="000000"/>
          <w:sz w:val="18"/>
          <w:szCs w:val="18"/>
        </w:rPr>
        <w:t>Vandell</w:t>
      </w:r>
      <w:proofErr w:type="spellEnd"/>
      <w:r>
        <w:rPr>
          <w:rFonts w:ascii="Verdana" w:hAnsi="Verdana"/>
          <w:color w:val="000000"/>
          <w:sz w:val="18"/>
          <w:szCs w:val="18"/>
        </w:rPr>
        <w:t xml:space="preserve"> common stock in an acquisition. Round your answers to the nearest cent. Do not round intermediate calculations. </w:t>
      </w:r>
    </w:p>
    <w:p w14:paraId="21A0F356" w14:textId="08588F11" w:rsidR="003404EF" w:rsidRDefault="003404EF" w:rsidP="003404EF">
      <w:pPr>
        <w:pStyle w:val="NormalWeb"/>
        <w:spacing w:after="0" w:afterAutospacing="0" w:line="315" w:lineRule="atLeast"/>
        <w:rPr>
          <w:rFonts w:ascii="Verdana" w:hAnsi="Verdana"/>
          <w:color w:val="000000"/>
          <w:sz w:val="18"/>
          <w:szCs w:val="18"/>
        </w:rPr>
      </w:pPr>
      <w:r>
        <w:rPr>
          <w:rFonts w:ascii="Verdana" w:hAnsi="Verdana"/>
          <w:color w:val="000000"/>
          <w:sz w:val="18"/>
          <w:szCs w:val="18"/>
        </w:rPr>
        <w:t>The bid for each share should range between $</w:t>
      </w:r>
      <w:r>
        <w:rPr>
          <w:rFonts w:ascii="Verdana" w:hAnsi="Verdana"/>
          <w:color w:val="000000"/>
          <w:sz w:val="18"/>
          <w:szCs w:val="18"/>
        </w:rPr>
        <w:object w:dxaOrig="1440" w:dyaOrig="1440" w14:anchorId="4D1CC1FE">
          <v:shape id="_x0000_i1048" type="#_x0000_t75" style="width:42pt;height:18pt" o:ole="">
            <v:imagedata r:id="rId5" o:title=""/>
          </v:shape>
          <w:control r:id="rId12" w:name="DefaultOcxName4" w:shapeid="_x0000_i1048"/>
        </w:object>
      </w:r>
      <w:r>
        <w:rPr>
          <w:rFonts w:ascii="Verdana" w:hAnsi="Verdana"/>
          <w:color w:val="000000"/>
          <w:sz w:val="18"/>
          <w:szCs w:val="18"/>
        </w:rPr>
        <w:t xml:space="preserve"> per share and $</w:t>
      </w:r>
      <w:r>
        <w:rPr>
          <w:rFonts w:ascii="Verdana" w:hAnsi="Verdana"/>
          <w:color w:val="000000"/>
          <w:sz w:val="18"/>
          <w:szCs w:val="18"/>
        </w:rPr>
        <w:object w:dxaOrig="1440" w:dyaOrig="1440" w14:anchorId="634B1858">
          <v:shape id="_x0000_i1047" type="#_x0000_t75" style="width:42pt;height:18pt" o:ole="">
            <v:imagedata r:id="rId5" o:title=""/>
          </v:shape>
          <w:control r:id="rId13" w:name="DefaultOcxName12" w:shapeid="_x0000_i1047"/>
        </w:object>
      </w:r>
      <w:r>
        <w:rPr>
          <w:rFonts w:ascii="Verdana" w:hAnsi="Verdana"/>
          <w:color w:val="000000"/>
          <w:sz w:val="18"/>
          <w:szCs w:val="18"/>
        </w:rPr>
        <w:t xml:space="preserve"> per share. </w:t>
      </w:r>
    </w:p>
    <w:p w14:paraId="3B5A4927" w14:textId="4E4FEBA0" w:rsidR="003404EF" w:rsidRDefault="003404EF"/>
    <w:p w14:paraId="6B0F2D7E" w14:textId="405128D8" w:rsidR="003404EF" w:rsidRDefault="003404EF"/>
    <w:p w14:paraId="7767EBB0" w14:textId="77777777" w:rsidR="003404EF" w:rsidRPr="003404EF" w:rsidRDefault="003404EF" w:rsidP="003404EF">
      <w:pPr>
        <w:spacing w:before="100" w:beforeAutospacing="1" w:after="100" w:afterAutospacing="1" w:line="315" w:lineRule="atLeast"/>
        <w:rPr>
          <w:rFonts w:ascii="Verdana" w:eastAsia="Times New Roman" w:hAnsi="Verdana" w:cs="Times New Roman"/>
          <w:color w:val="000000"/>
          <w:sz w:val="18"/>
          <w:szCs w:val="18"/>
        </w:rPr>
      </w:pPr>
      <w:r w:rsidRPr="003404EF">
        <w:rPr>
          <w:rFonts w:ascii="Verdana" w:eastAsia="Times New Roman" w:hAnsi="Verdana" w:cs="Times New Roman"/>
          <w:b/>
          <w:bCs/>
          <w:color w:val="000000"/>
          <w:sz w:val="18"/>
          <w:szCs w:val="18"/>
        </w:rPr>
        <w:t>Problem 24-01</w:t>
      </w:r>
      <w:r w:rsidRPr="003404EF">
        <w:rPr>
          <w:rFonts w:ascii="Verdana" w:eastAsia="Times New Roman" w:hAnsi="Verdana" w:cs="Times New Roman"/>
          <w:color w:val="000000"/>
          <w:sz w:val="18"/>
          <w:szCs w:val="18"/>
        </w:rPr>
        <w:t xml:space="preserve"> </w:t>
      </w:r>
      <w:r w:rsidRPr="003404EF">
        <w:rPr>
          <w:rFonts w:ascii="Verdana" w:eastAsia="Times New Roman" w:hAnsi="Verdana" w:cs="Times New Roman"/>
          <w:color w:val="000000"/>
          <w:sz w:val="18"/>
          <w:szCs w:val="18"/>
        </w:rPr>
        <w:br/>
        <w:t xml:space="preserve">Liquidation </w:t>
      </w:r>
    </w:p>
    <w:p w14:paraId="68C9AA02" w14:textId="77777777" w:rsidR="003404EF" w:rsidRPr="003404EF" w:rsidRDefault="003404EF" w:rsidP="003404EF">
      <w:pPr>
        <w:spacing w:before="100" w:beforeAutospacing="1" w:after="100" w:afterAutospacing="1" w:line="315" w:lineRule="atLeas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Southwestern Wear Inc. has the following balance sheet:</w:t>
      </w:r>
    </w:p>
    <w:tbl>
      <w:tblPr>
        <w:tblW w:w="8250" w:type="dxa"/>
        <w:tblCellSpacing w:w="0" w:type="dxa"/>
        <w:tblCellMar>
          <w:top w:w="75" w:type="dxa"/>
          <w:left w:w="75" w:type="dxa"/>
          <w:bottom w:w="75" w:type="dxa"/>
          <w:right w:w="75" w:type="dxa"/>
        </w:tblCellMar>
        <w:tblLook w:val="04A0" w:firstRow="1" w:lastRow="0" w:firstColumn="1" w:lastColumn="0" w:noHBand="0" w:noVBand="1"/>
      </w:tblPr>
      <w:tblGrid>
        <w:gridCol w:w="2068"/>
        <w:gridCol w:w="1197"/>
        <w:gridCol w:w="302"/>
        <w:gridCol w:w="3486"/>
        <w:gridCol w:w="1197"/>
      </w:tblGrid>
      <w:tr w:rsidR="003404EF" w:rsidRPr="003404EF" w14:paraId="04128A1D" w14:textId="77777777" w:rsidTr="003404EF">
        <w:trPr>
          <w:tblCellSpacing w:w="0" w:type="dxa"/>
        </w:trPr>
        <w:tc>
          <w:tcPr>
            <w:tcW w:w="0" w:type="auto"/>
            <w:shd w:val="clear" w:color="auto" w:fill="auto"/>
            <w:hideMark/>
          </w:tcPr>
          <w:p w14:paraId="1B8BFE4C" w14:textId="77777777" w:rsidR="003404EF" w:rsidRPr="003404EF" w:rsidRDefault="003404EF" w:rsidP="003404EF">
            <w:pPr>
              <w:spacing w:after="0" w:line="315" w:lineRule="atLeas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Current assets</w:t>
            </w:r>
          </w:p>
        </w:tc>
        <w:tc>
          <w:tcPr>
            <w:tcW w:w="975" w:type="dxa"/>
            <w:shd w:val="clear" w:color="auto" w:fill="auto"/>
            <w:hideMark/>
          </w:tcPr>
          <w:p w14:paraId="64A76ED7" w14:textId="77777777" w:rsidR="003404EF" w:rsidRPr="003404EF" w:rsidRDefault="003404EF" w:rsidP="003404EF">
            <w:pPr>
              <w:spacing w:after="0" w:line="315" w:lineRule="atLeast"/>
              <w:jc w:val="righ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 xml:space="preserve">$1,875,000 </w:t>
            </w:r>
          </w:p>
        </w:tc>
        <w:tc>
          <w:tcPr>
            <w:tcW w:w="0" w:type="auto"/>
            <w:shd w:val="clear" w:color="auto" w:fill="auto"/>
            <w:hideMark/>
          </w:tcPr>
          <w:p w14:paraId="06542805" w14:textId="77777777" w:rsidR="003404EF" w:rsidRPr="003404EF" w:rsidRDefault="003404EF" w:rsidP="003404EF">
            <w:pPr>
              <w:spacing w:after="0" w:line="315" w:lineRule="atLeas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 </w:t>
            </w:r>
          </w:p>
        </w:tc>
        <w:tc>
          <w:tcPr>
            <w:tcW w:w="0" w:type="auto"/>
            <w:shd w:val="clear" w:color="auto" w:fill="auto"/>
            <w:hideMark/>
          </w:tcPr>
          <w:p w14:paraId="658FE93C" w14:textId="77777777" w:rsidR="003404EF" w:rsidRPr="003404EF" w:rsidRDefault="003404EF" w:rsidP="003404EF">
            <w:pPr>
              <w:spacing w:after="0" w:line="315" w:lineRule="atLeas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Accounts payable</w:t>
            </w:r>
          </w:p>
        </w:tc>
        <w:tc>
          <w:tcPr>
            <w:tcW w:w="975" w:type="dxa"/>
            <w:shd w:val="clear" w:color="auto" w:fill="auto"/>
            <w:hideMark/>
          </w:tcPr>
          <w:p w14:paraId="5CF37D16" w14:textId="77777777" w:rsidR="003404EF" w:rsidRPr="003404EF" w:rsidRDefault="003404EF" w:rsidP="003404EF">
            <w:pPr>
              <w:spacing w:after="0" w:line="315" w:lineRule="atLeast"/>
              <w:jc w:val="righ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 xml:space="preserve">$375,000 </w:t>
            </w:r>
          </w:p>
        </w:tc>
      </w:tr>
      <w:tr w:rsidR="003404EF" w:rsidRPr="003404EF" w14:paraId="4C3DC151" w14:textId="77777777" w:rsidTr="003404EF">
        <w:trPr>
          <w:tblCellSpacing w:w="0" w:type="dxa"/>
        </w:trPr>
        <w:tc>
          <w:tcPr>
            <w:tcW w:w="0" w:type="auto"/>
            <w:shd w:val="clear" w:color="auto" w:fill="auto"/>
            <w:hideMark/>
          </w:tcPr>
          <w:p w14:paraId="56493B32" w14:textId="77777777" w:rsidR="003404EF" w:rsidRPr="003404EF" w:rsidRDefault="003404EF" w:rsidP="003404EF">
            <w:pPr>
              <w:spacing w:after="0" w:line="315" w:lineRule="atLeas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Fixed assets</w:t>
            </w:r>
          </w:p>
        </w:tc>
        <w:tc>
          <w:tcPr>
            <w:tcW w:w="0" w:type="auto"/>
            <w:shd w:val="clear" w:color="auto" w:fill="auto"/>
            <w:hideMark/>
          </w:tcPr>
          <w:p w14:paraId="5270E400" w14:textId="77777777" w:rsidR="003404EF" w:rsidRPr="003404EF" w:rsidRDefault="003404EF" w:rsidP="003404EF">
            <w:pPr>
              <w:spacing w:after="0" w:line="315" w:lineRule="atLeast"/>
              <w:jc w:val="righ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 xml:space="preserve">1,875,000 </w:t>
            </w:r>
          </w:p>
        </w:tc>
        <w:tc>
          <w:tcPr>
            <w:tcW w:w="0" w:type="auto"/>
            <w:shd w:val="clear" w:color="auto" w:fill="auto"/>
            <w:hideMark/>
          </w:tcPr>
          <w:p w14:paraId="4FE7B0FC" w14:textId="77777777" w:rsidR="003404EF" w:rsidRPr="003404EF" w:rsidRDefault="003404EF" w:rsidP="003404EF">
            <w:pPr>
              <w:spacing w:after="0" w:line="315" w:lineRule="atLeas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 </w:t>
            </w:r>
          </w:p>
        </w:tc>
        <w:tc>
          <w:tcPr>
            <w:tcW w:w="0" w:type="auto"/>
            <w:shd w:val="clear" w:color="auto" w:fill="auto"/>
            <w:hideMark/>
          </w:tcPr>
          <w:p w14:paraId="067D9D59" w14:textId="77777777" w:rsidR="003404EF" w:rsidRPr="003404EF" w:rsidRDefault="003404EF" w:rsidP="003404EF">
            <w:pPr>
              <w:spacing w:after="0" w:line="315" w:lineRule="atLeas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Notes payable</w:t>
            </w:r>
          </w:p>
        </w:tc>
        <w:tc>
          <w:tcPr>
            <w:tcW w:w="0" w:type="auto"/>
            <w:shd w:val="clear" w:color="auto" w:fill="auto"/>
            <w:hideMark/>
          </w:tcPr>
          <w:p w14:paraId="1C0A2518" w14:textId="77777777" w:rsidR="003404EF" w:rsidRPr="003404EF" w:rsidRDefault="003404EF" w:rsidP="003404EF">
            <w:pPr>
              <w:spacing w:after="0" w:line="315" w:lineRule="atLeast"/>
              <w:jc w:val="righ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 xml:space="preserve">750,000 </w:t>
            </w:r>
          </w:p>
        </w:tc>
      </w:tr>
      <w:tr w:rsidR="003404EF" w:rsidRPr="003404EF" w14:paraId="5C026A9F" w14:textId="77777777" w:rsidTr="003404EF">
        <w:trPr>
          <w:tblCellSpacing w:w="0" w:type="dxa"/>
        </w:trPr>
        <w:tc>
          <w:tcPr>
            <w:tcW w:w="0" w:type="auto"/>
            <w:shd w:val="clear" w:color="auto" w:fill="auto"/>
            <w:hideMark/>
          </w:tcPr>
          <w:p w14:paraId="782E11B8" w14:textId="77777777" w:rsidR="003404EF" w:rsidRPr="003404EF" w:rsidRDefault="003404EF" w:rsidP="003404EF">
            <w:pPr>
              <w:spacing w:after="0" w:line="315" w:lineRule="atLeas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 </w:t>
            </w:r>
          </w:p>
        </w:tc>
        <w:tc>
          <w:tcPr>
            <w:tcW w:w="0" w:type="auto"/>
            <w:shd w:val="clear" w:color="auto" w:fill="auto"/>
            <w:hideMark/>
          </w:tcPr>
          <w:p w14:paraId="1A6AC31F" w14:textId="77777777" w:rsidR="003404EF" w:rsidRPr="003404EF" w:rsidRDefault="003404EF" w:rsidP="003404EF">
            <w:pPr>
              <w:spacing w:after="0" w:line="315" w:lineRule="atLeast"/>
              <w:jc w:val="righ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 </w:t>
            </w:r>
          </w:p>
        </w:tc>
        <w:tc>
          <w:tcPr>
            <w:tcW w:w="0" w:type="auto"/>
            <w:shd w:val="clear" w:color="auto" w:fill="auto"/>
            <w:hideMark/>
          </w:tcPr>
          <w:p w14:paraId="0CCC38BB" w14:textId="77777777" w:rsidR="003404EF" w:rsidRPr="003404EF" w:rsidRDefault="003404EF" w:rsidP="003404EF">
            <w:pPr>
              <w:spacing w:after="0" w:line="315" w:lineRule="atLeas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 </w:t>
            </w:r>
          </w:p>
        </w:tc>
        <w:tc>
          <w:tcPr>
            <w:tcW w:w="0" w:type="auto"/>
            <w:shd w:val="clear" w:color="auto" w:fill="auto"/>
            <w:hideMark/>
          </w:tcPr>
          <w:p w14:paraId="11A927D1" w14:textId="77777777" w:rsidR="003404EF" w:rsidRPr="003404EF" w:rsidRDefault="003404EF" w:rsidP="003404EF">
            <w:pPr>
              <w:spacing w:after="0" w:line="315" w:lineRule="atLeas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Subordinated debentures</w:t>
            </w:r>
          </w:p>
        </w:tc>
        <w:tc>
          <w:tcPr>
            <w:tcW w:w="0" w:type="auto"/>
            <w:tcBorders>
              <w:bottom w:val="single" w:sz="6" w:space="0" w:color="000000"/>
            </w:tcBorders>
            <w:shd w:val="clear" w:color="auto" w:fill="auto"/>
            <w:hideMark/>
          </w:tcPr>
          <w:p w14:paraId="21693426" w14:textId="77777777" w:rsidR="003404EF" w:rsidRPr="003404EF" w:rsidRDefault="003404EF" w:rsidP="003404EF">
            <w:pPr>
              <w:spacing w:after="0" w:line="315" w:lineRule="atLeast"/>
              <w:jc w:val="righ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 xml:space="preserve">750,000 </w:t>
            </w:r>
          </w:p>
        </w:tc>
      </w:tr>
      <w:tr w:rsidR="003404EF" w:rsidRPr="003404EF" w14:paraId="6910B502" w14:textId="77777777" w:rsidTr="003404EF">
        <w:trPr>
          <w:tblCellSpacing w:w="0" w:type="dxa"/>
        </w:trPr>
        <w:tc>
          <w:tcPr>
            <w:tcW w:w="0" w:type="auto"/>
            <w:shd w:val="clear" w:color="auto" w:fill="auto"/>
            <w:hideMark/>
          </w:tcPr>
          <w:p w14:paraId="63C14747" w14:textId="77777777" w:rsidR="003404EF" w:rsidRPr="003404EF" w:rsidRDefault="003404EF" w:rsidP="003404EF">
            <w:pPr>
              <w:spacing w:after="0" w:line="315" w:lineRule="atLeas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 </w:t>
            </w:r>
          </w:p>
        </w:tc>
        <w:tc>
          <w:tcPr>
            <w:tcW w:w="0" w:type="auto"/>
            <w:shd w:val="clear" w:color="auto" w:fill="auto"/>
            <w:hideMark/>
          </w:tcPr>
          <w:p w14:paraId="08D84FC1" w14:textId="77777777" w:rsidR="003404EF" w:rsidRPr="003404EF" w:rsidRDefault="003404EF" w:rsidP="003404EF">
            <w:pPr>
              <w:spacing w:after="0" w:line="315" w:lineRule="atLeast"/>
              <w:jc w:val="righ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 </w:t>
            </w:r>
          </w:p>
        </w:tc>
        <w:tc>
          <w:tcPr>
            <w:tcW w:w="0" w:type="auto"/>
            <w:shd w:val="clear" w:color="auto" w:fill="auto"/>
            <w:hideMark/>
          </w:tcPr>
          <w:p w14:paraId="6D78543C" w14:textId="77777777" w:rsidR="003404EF" w:rsidRPr="003404EF" w:rsidRDefault="003404EF" w:rsidP="003404EF">
            <w:pPr>
              <w:spacing w:after="0" w:line="315" w:lineRule="atLeas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 </w:t>
            </w:r>
          </w:p>
        </w:tc>
        <w:tc>
          <w:tcPr>
            <w:tcW w:w="0" w:type="auto"/>
            <w:shd w:val="clear" w:color="auto" w:fill="auto"/>
            <w:hideMark/>
          </w:tcPr>
          <w:p w14:paraId="3C4479AF" w14:textId="77777777" w:rsidR="003404EF" w:rsidRPr="003404EF" w:rsidRDefault="003404EF" w:rsidP="003404EF">
            <w:pPr>
              <w:spacing w:after="0" w:line="315" w:lineRule="atLeast"/>
              <w:jc w:val="center"/>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Total debt</w:t>
            </w:r>
          </w:p>
        </w:tc>
        <w:tc>
          <w:tcPr>
            <w:tcW w:w="0" w:type="auto"/>
            <w:shd w:val="clear" w:color="auto" w:fill="auto"/>
            <w:hideMark/>
          </w:tcPr>
          <w:p w14:paraId="29FCFA07" w14:textId="77777777" w:rsidR="003404EF" w:rsidRPr="003404EF" w:rsidRDefault="003404EF" w:rsidP="003404EF">
            <w:pPr>
              <w:spacing w:after="0" w:line="315" w:lineRule="atLeast"/>
              <w:jc w:val="righ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 xml:space="preserve">$1,875,000 </w:t>
            </w:r>
          </w:p>
        </w:tc>
      </w:tr>
      <w:tr w:rsidR="003404EF" w:rsidRPr="003404EF" w14:paraId="448EA29B" w14:textId="77777777" w:rsidTr="003404EF">
        <w:trPr>
          <w:tblCellSpacing w:w="0" w:type="dxa"/>
        </w:trPr>
        <w:tc>
          <w:tcPr>
            <w:tcW w:w="0" w:type="auto"/>
            <w:shd w:val="clear" w:color="auto" w:fill="auto"/>
            <w:hideMark/>
          </w:tcPr>
          <w:p w14:paraId="40FCFF18" w14:textId="77777777" w:rsidR="003404EF" w:rsidRPr="003404EF" w:rsidRDefault="003404EF" w:rsidP="003404EF">
            <w:pPr>
              <w:spacing w:after="0" w:line="315" w:lineRule="atLeas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 </w:t>
            </w:r>
          </w:p>
        </w:tc>
        <w:tc>
          <w:tcPr>
            <w:tcW w:w="0" w:type="auto"/>
            <w:tcBorders>
              <w:bottom w:val="single" w:sz="6" w:space="0" w:color="000000"/>
            </w:tcBorders>
            <w:shd w:val="clear" w:color="auto" w:fill="auto"/>
            <w:hideMark/>
          </w:tcPr>
          <w:p w14:paraId="44D30EBD" w14:textId="77777777" w:rsidR="003404EF" w:rsidRPr="003404EF" w:rsidRDefault="003404EF" w:rsidP="003404EF">
            <w:pPr>
              <w:spacing w:after="0" w:line="315" w:lineRule="atLeast"/>
              <w:jc w:val="righ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 xml:space="preserve">  </w:t>
            </w:r>
          </w:p>
        </w:tc>
        <w:tc>
          <w:tcPr>
            <w:tcW w:w="0" w:type="auto"/>
            <w:shd w:val="clear" w:color="auto" w:fill="auto"/>
            <w:hideMark/>
          </w:tcPr>
          <w:p w14:paraId="6FE94C63" w14:textId="77777777" w:rsidR="003404EF" w:rsidRPr="003404EF" w:rsidRDefault="003404EF" w:rsidP="003404EF">
            <w:pPr>
              <w:spacing w:after="0" w:line="315" w:lineRule="atLeas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 </w:t>
            </w:r>
          </w:p>
        </w:tc>
        <w:tc>
          <w:tcPr>
            <w:tcW w:w="0" w:type="auto"/>
            <w:shd w:val="clear" w:color="auto" w:fill="auto"/>
            <w:hideMark/>
          </w:tcPr>
          <w:p w14:paraId="64246919" w14:textId="77777777" w:rsidR="003404EF" w:rsidRPr="003404EF" w:rsidRDefault="003404EF" w:rsidP="003404EF">
            <w:pPr>
              <w:spacing w:after="0" w:line="315" w:lineRule="atLeas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Common equity</w:t>
            </w:r>
          </w:p>
        </w:tc>
        <w:tc>
          <w:tcPr>
            <w:tcW w:w="0" w:type="auto"/>
            <w:tcBorders>
              <w:bottom w:val="single" w:sz="6" w:space="0" w:color="000000"/>
            </w:tcBorders>
            <w:shd w:val="clear" w:color="auto" w:fill="auto"/>
            <w:hideMark/>
          </w:tcPr>
          <w:p w14:paraId="63E0DD17" w14:textId="77777777" w:rsidR="003404EF" w:rsidRPr="003404EF" w:rsidRDefault="003404EF" w:rsidP="003404EF">
            <w:pPr>
              <w:spacing w:after="0" w:line="315" w:lineRule="atLeast"/>
              <w:jc w:val="righ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 xml:space="preserve">1,875,000 </w:t>
            </w:r>
          </w:p>
        </w:tc>
      </w:tr>
      <w:tr w:rsidR="003404EF" w:rsidRPr="003404EF" w14:paraId="217495C7" w14:textId="77777777" w:rsidTr="003404EF">
        <w:trPr>
          <w:tblCellSpacing w:w="0" w:type="dxa"/>
        </w:trPr>
        <w:tc>
          <w:tcPr>
            <w:tcW w:w="0" w:type="auto"/>
            <w:shd w:val="clear" w:color="auto" w:fill="auto"/>
            <w:hideMark/>
          </w:tcPr>
          <w:p w14:paraId="2F00F9B0" w14:textId="77777777" w:rsidR="003404EF" w:rsidRPr="003404EF" w:rsidRDefault="003404EF" w:rsidP="003404EF">
            <w:pPr>
              <w:spacing w:after="0" w:line="315" w:lineRule="atLeas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Total assets</w:t>
            </w:r>
          </w:p>
        </w:tc>
        <w:tc>
          <w:tcPr>
            <w:tcW w:w="0" w:type="auto"/>
            <w:tcBorders>
              <w:bottom w:val="double" w:sz="6" w:space="0" w:color="000000"/>
            </w:tcBorders>
            <w:shd w:val="clear" w:color="auto" w:fill="auto"/>
            <w:hideMark/>
          </w:tcPr>
          <w:p w14:paraId="5377A58F" w14:textId="77777777" w:rsidR="003404EF" w:rsidRPr="003404EF" w:rsidRDefault="003404EF" w:rsidP="003404EF">
            <w:pPr>
              <w:spacing w:after="0" w:line="315" w:lineRule="atLeast"/>
              <w:jc w:val="righ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 xml:space="preserve">$3,750,000 </w:t>
            </w:r>
          </w:p>
        </w:tc>
        <w:tc>
          <w:tcPr>
            <w:tcW w:w="0" w:type="auto"/>
            <w:shd w:val="clear" w:color="auto" w:fill="auto"/>
            <w:hideMark/>
          </w:tcPr>
          <w:p w14:paraId="301749E0" w14:textId="77777777" w:rsidR="003404EF" w:rsidRPr="003404EF" w:rsidRDefault="003404EF" w:rsidP="003404EF">
            <w:pPr>
              <w:spacing w:after="0" w:line="315" w:lineRule="atLeas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 </w:t>
            </w:r>
          </w:p>
        </w:tc>
        <w:tc>
          <w:tcPr>
            <w:tcW w:w="0" w:type="auto"/>
            <w:shd w:val="clear" w:color="auto" w:fill="auto"/>
            <w:hideMark/>
          </w:tcPr>
          <w:p w14:paraId="0879D192" w14:textId="77777777" w:rsidR="003404EF" w:rsidRPr="003404EF" w:rsidRDefault="003404EF" w:rsidP="003404EF">
            <w:pPr>
              <w:spacing w:after="0" w:line="315" w:lineRule="atLeas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Total liabilities and equity</w:t>
            </w:r>
          </w:p>
        </w:tc>
        <w:tc>
          <w:tcPr>
            <w:tcW w:w="0" w:type="auto"/>
            <w:tcBorders>
              <w:bottom w:val="double" w:sz="6" w:space="0" w:color="000000"/>
            </w:tcBorders>
            <w:shd w:val="clear" w:color="auto" w:fill="auto"/>
            <w:hideMark/>
          </w:tcPr>
          <w:p w14:paraId="4469948C" w14:textId="77777777" w:rsidR="003404EF" w:rsidRPr="003404EF" w:rsidRDefault="003404EF" w:rsidP="003404EF">
            <w:pPr>
              <w:spacing w:after="0" w:line="315" w:lineRule="atLeast"/>
              <w:jc w:val="righ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 xml:space="preserve">$3,750,000 </w:t>
            </w:r>
          </w:p>
        </w:tc>
      </w:tr>
    </w:tbl>
    <w:p w14:paraId="10A2C1BF" w14:textId="77777777" w:rsidR="003404EF" w:rsidRPr="003404EF" w:rsidRDefault="003404EF" w:rsidP="003404EF">
      <w:pPr>
        <w:spacing w:before="100" w:beforeAutospacing="1" w:after="100" w:afterAutospacing="1" w:line="315" w:lineRule="atLeas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The trustee's costs total $229,500, and the firm has no accrued taxes or wages. Southwestern has no unfunded pension liabilities. The debentures are subordinated only to the notes payable. If the firm goes bankrupt and liquidates, how much will each class of investors receive if a total of $3.5 million is received from sale of the assets?</w:t>
      </w:r>
    </w:p>
    <w:p w14:paraId="4EEF76AE" w14:textId="77777777" w:rsidR="003404EF" w:rsidRPr="003404EF" w:rsidRDefault="003404EF" w:rsidP="003404EF">
      <w:pPr>
        <w:spacing w:before="100" w:beforeAutospacing="1" w:after="100" w:afterAutospacing="1" w:line="315" w:lineRule="atLeas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Distribution of proceeds on liquidation:</w:t>
      </w:r>
    </w:p>
    <w:p w14:paraId="0498B9DE" w14:textId="53A8D730" w:rsidR="003404EF" w:rsidRDefault="003404EF"/>
    <w:p w14:paraId="29F83061" w14:textId="77777777" w:rsidR="003404EF" w:rsidRDefault="003404EF" w:rsidP="003404EF">
      <w:r>
        <w:t>1. Proceeds from sale of assets</w:t>
      </w:r>
    </w:p>
    <w:p w14:paraId="3164CCA2" w14:textId="77777777" w:rsidR="003404EF" w:rsidRDefault="003404EF" w:rsidP="003404EF">
      <w:r>
        <w:t xml:space="preserve">$ </w:t>
      </w:r>
    </w:p>
    <w:p w14:paraId="030B4310" w14:textId="77777777" w:rsidR="003404EF" w:rsidRDefault="003404EF" w:rsidP="003404EF">
      <w:r>
        <w:t>2. First mortgage, paid from sale of assets</w:t>
      </w:r>
    </w:p>
    <w:p w14:paraId="621878FA" w14:textId="77777777" w:rsidR="003404EF" w:rsidRDefault="003404EF" w:rsidP="003404EF">
      <w:r>
        <w:t xml:space="preserve">$ </w:t>
      </w:r>
    </w:p>
    <w:p w14:paraId="5FE6098E" w14:textId="77777777" w:rsidR="003404EF" w:rsidRDefault="003404EF" w:rsidP="003404EF">
      <w:r>
        <w:t xml:space="preserve"> </w:t>
      </w:r>
    </w:p>
    <w:p w14:paraId="17096B4C" w14:textId="77777777" w:rsidR="003404EF" w:rsidRDefault="003404EF" w:rsidP="003404EF">
      <w:r>
        <w:lastRenderedPageBreak/>
        <w:t>3. Fees and expenses of administration of bankruptcy</w:t>
      </w:r>
    </w:p>
    <w:p w14:paraId="5F660CDD" w14:textId="77777777" w:rsidR="003404EF" w:rsidRDefault="003404EF" w:rsidP="003404EF">
      <w:r>
        <w:t xml:space="preserve">$ </w:t>
      </w:r>
    </w:p>
    <w:p w14:paraId="69085459" w14:textId="77777777" w:rsidR="003404EF" w:rsidRDefault="003404EF" w:rsidP="003404EF">
      <w:r>
        <w:t xml:space="preserve"> </w:t>
      </w:r>
    </w:p>
    <w:p w14:paraId="7F98C0E8" w14:textId="77777777" w:rsidR="003404EF" w:rsidRDefault="003404EF" w:rsidP="003404EF">
      <w:r>
        <w:t xml:space="preserve">4. Wages due workers earned within 3 months </w:t>
      </w:r>
    </w:p>
    <w:p w14:paraId="222D77AC" w14:textId="77777777" w:rsidR="003404EF" w:rsidRDefault="003404EF" w:rsidP="003404EF">
      <w:r>
        <w:t>prior to filing of bankruptcy petition</w:t>
      </w:r>
    </w:p>
    <w:p w14:paraId="4554D0D5" w14:textId="77777777" w:rsidR="003404EF" w:rsidRDefault="003404EF" w:rsidP="003404EF">
      <w:r>
        <w:t xml:space="preserve">$ </w:t>
      </w:r>
    </w:p>
    <w:p w14:paraId="61DC62EE" w14:textId="77777777" w:rsidR="003404EF" w:rsidRDefault="003404EF" w:rsidP="003404EF">
      <w:r>
        <w:t xml:space="preserve"> </w:t>
      </w:r>
    </w:p>
    <w:p w14:paraId="5ECC1F59" w14:textId="77777777" w:rsidR="003404EF" w:rsidRDefault="003404EF" w:rsidP="003404EF">
      <w:r>
        <w:t>5. Taxes</w:t>
      </w:r>
    </w:p>
    <w:p w14:paraId="57DB7FD5" w14:textId="77777777" w:rsidR="003404EF" w:rsidRDefault="003404EF" w:rsidP="003404EF">
      <w:r>
        <w:t xml:space="preserve">$ </w:t>
      </w:r>
    </w:p>
    <w:p w14:paraId="1AC3FACE" w14:textId="77777777" w:rsidR="003404EF" w:rsidRDefault="003404EF" w:rsidP="003404EF">
      <w:r>
        <w:t xml:space="preserve"> </w:t>
      </w:r>
    </w:p>
    <w:p w14:paraId="6B795DF1" w14:textId="77777777" w:rsidR="003404EF" w:rsidRDefault="003404EF" w:rsidP="003404EF">
      <w:r>
        <w:t>6. Unfunded pension liabilities</w:t>
      </w:r>
    </w:p>
    <w:p w14:paraId="2A15CDBB" w14:textId="77777777" w:rsidR="003404EF" w:rsidRDefault="003404EF" w:rsidP="003404EF">
      <w:r>
        <w:t xml:space="preserve">$ </w:t>
      </w:r>
    </w:p>
    <w:p w14:paraId="2182370F" w14:textId="77777777" w:rsidR="003404EF" w:rsidRDefault="003404EF" w:rsidP="003404EF">
      <w:r>
        <w:t xml:space="preserve"> </w:t>
      </w:r>
    </w:p>
    <w:p w14:paraId="1B86EFCD" w14:textId="77777777" w:rsidR="003404EF" w:rsidRDefault="003404EF" w:rsidP="003404EF">
      <w:r>
        <w:t>7. Available to general creditors</w:t>
      </w:r>
    </w:p>
    <w:p w14:paraId="0F542E72" w14:textId="7A20AC38" w:rsidR="003404EF" w:rsidRDefault="003404EF" w:rsidP="003404EF">
      <w:r>
        <w:t>$</w:t>
      </w:r>
    </w:p>
    <w:p w14:paraId="527BDE4C" w14:textId="77777777" w:rsidR="003404EF" w:rsidRDefault="003404EF" w:rsidP="003404EF"/>
    <w:p w14:paraId="3056C88A" w14:textId="77777777" w:rsidR="003404EF" w:rsidRPr="003404EF" w:rsidRDefault="003404EF" w:rsidP="003404EF">
      <w:pPr>
        <w:spacing w:before="100" w:beforeAutospacing="1" w:after="100" w:afterAutospacing="1" w:line="315" w:lineRule="atLeas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Distribution to general creditors:</w:t>
      </w:r>
    </w:p>
    <w:tbl>
      <w:tblPr>
        <w:tblW w:w="10500" w:type="dxa"/>
        <w:tblCellSpacing w:w="0" w:type="dxa"/>
        <w:tblCellMar>
          <w:top w:w="75" w:type="dxa"/>
          <w:left w:w="75" w:type="dxa"/>
          <w:bottom w:w="75" w:type="dxa"/>
          <w:right w:w="75" w:type="dxa"/>
        </w:tblCellMar>
        <w:tblLook w:val="04A0" w:firstRow="1" w:lastRow="0" w:firstColumn="1" w:lastColumn="0" w:noHBand="0" w:noVBand="1"/>
      </w:tblPr>
      <w:tblGrid>
        <w:gridCol w:w="2220"/>
        <w:gridCol w:w="1067"/>
        <w:gridCol w:w="2469"/>
        <w:gridCol w:w="2494"/>
        <w:gridCol w:w="2250"/>
      </w:tblGrid>
      <w:tr w:rsidR="003404EF" w:rsidRPr="003404EF" w14:paraId="75D223F8" w14:textId="77777777" w:rsidTr="003404EF">
        <w:trPr>
          <w:tblCellSpacing w:w="0" w:type="dxa"/>
        </w:trPr>
        <w:tc>
          <w:tcPr>
            <w:tcW w:w="0" w:type="auto"/>
            <w:tcBorders>
              <w:bottom w:val="single" w:sz="6" w:space="0" w:color="000000"/>
            </w:tcBorders>
            <w:shd w:val="clear" w:color="auto" w:fill="auto"/>
            <w:hideMark/>
          </w:tcPr>
          <w:p w14:paraId="0C581B98" w14:textId="77777777" w:rsidR="003404EF" w:rsidRPr="003404EF" w:rsidRDefault="003404EF" w:rsidP="003404EF">
            <w:pPr>
              <w:spacing w:after="0" w:line="315" w:lineRule="atLeast"/>
              <w:jc w:val="center"/>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Claims of General Creditors</w:t>
            </w:r>
          </w:p>
        </w:tc>
        <w:tc>
          <w:tcPr>
            <w:tcW w:w="0" w:type="auto"/>
            <w:tcBorders>
              <w:bottom w:val="single" w:sz="6" w:space="0" w:color="000000"/>
            </w:tcBorders>
            <w:shd w:val="clear" w:color="auto" w:fill="auto"/>
            <w:hideMark/>
          </w:tcPr>
          <w:p w14:paraId="2B27584F" w14:textId="77777777" w:rsidR="003404EF" w:rsidRPr="003404EF" w:rsidRDefault="003404EF" w:rsidP="003404EF">
            <w:pPr>
              <w:spacing w:after="0" w:line="315" w:lineRule="atLeast"/>
              <w:jc w:val="center"/>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br/>
              <w:t xml:space="preserve">Claim </w:t>
            </w:r>
            <w:r w:rsidRPr="003404EF">
              <w:rPr>
                <w:rFonts w:ascii="Verdana" w:eastAsia="Times New Roman" w:hAnsi="Verdana" w:cs="Times New Roman"/>
                <w:color w:val="000000"/>
                <w:sz w:val="18"/>
                <w:szCs w:val="18"/>
              </w:rPr>
              <w:br/>
              <w:t>(1)</w:t>
            </w:r>
          </w:p>
        </w:tc>
        <w:tc>
          <w:tcPr>
            <w:tcW w:w="0" w:type="auto"/>
            <w:tcBorders>
              <w:bottom w:val="single" w:sz="6" w:space="0" w:color="000000"/>
            </w:tcBorders>
            <w:shd w:val="clear" w:color="auto" w:fill="auto"/>
            <w:hideMark/>
          </w:tcPr>
          <w:p w14:paraId="1F738A1F" w14:textId="77777777" w:rsidR="003404EF" w:rsidRPr="003404EF" w:rsidRDefault="003404EF" w:rsidP="003404EF">
            <w:pPr>
              <w:spacing w:after="0" w:line="315" w:lineRule="atLeast"/>
              <w:jc w:val="center"/>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Application of 100% Distribution</w:t>
            </w:r>
            <w:r w:rsidRPr="003404EF">
              <w:rPr>
                <w:rFonts w:ascii="Verdana" w:eastAsia="Times New Roman" w:hAnsi="Verdana" w:cs="Times New Roman"/>
                <w:color w:val="000000"/>
                <w:sz w:val="18"/>
                <w:szCs w:val="18"/>
              </w:rPr>
              <w:br/>
              <w:t>(2)</w:t>
            </w:r>
          </w:p>
        </w:tc>
        <w:tc>
          <w:tcPr>
            <w:tcW w:w="0" w:type="auto"/>
            <w:tcBorders>
              <w:bottom w:val="single" w:sz="6" w:space="0" w:color="000000"/>
            </w:tcBorders>
            <w:shd w:val="clear" w:color="auto" w:fill="auto"/>
            <w:hideMark/>
          </w:tcPr>
          <w:p w14:paraId="2E867C50" w14:textId="77777777" w:rsidR="003404EF" w:rsidRPr="003404EF" w:rsidRDefault="003404EF" w:rsidP="003404EF">
            <w:pPr>
              <w:spacing w:after="0" w:line="315" w:lineRule="atLeast"/>
              <w:jc w:val="center"/>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After Subordination Adjustment</w:t>
            </w:r>
            <w:r w:rsidRPr="003404EF">
              <w:rPr>
                <w:rFonts w:ascii="Verdana" w:eastAsia="Times New Roman" w:hAnsi="Verdana" w:cs="Times New Roman"/>
                <w:color w:val="000000"/>
                <w:sz w:val="18"/>
                <w:szCs w:val="18"/>
              </w:rPr>
              <w:br/>
              <w:t>(3)</w:t>
            </w:r>
          </w:p>
        </w:tc>
        <w:tc>
          <w:tcPr>
            <w:tcW w:w="2250" w:type="dxa"/>
            <w:tcBorders>
              <w:bottom w:val="single" w:sz="6" w:space="0" w:color="000000"/>
            </w:tcBorders>
            <w:shd w:val="clear" w:color="auto" w:fill="auto"/>
            <w:hideMark/>
          </w:tcPr>
          <w:p w14:paraId="785BD39D" w14:textId="77777777" w:rsidR="003404EF" w:rsidRPr="003404EF" w:rsidRDefault="003404EF" w:rsidP="003404EF">
            <w:pPr>
              <w:spacing w:after="0" w:line="315" w:lineRule="atLeast"/>
              <w:jc w:val="center"/>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Percentage of Original Claims Received</w:t>
            </w:r>
            <w:r w:rsidRPr="003404EF">
              <w:rPr>
                <w:rFonts w:ascii="Verdana" w:eastAsia="Times New Roman" w:hAnsi="Verdana" w:cs="Times New Roman"/>
                <w:color w:val="000000"/>
                <w:sz w:val="18"/>
                <w:szCs w:val="18"/>
              </w:rPr>
              <w:br/>
              <w:t>(4)</w:t>
            </w:r>
          </w:p>
        </w:tc>
      </w:tr>
      <w:tr w:rsidR="003404EF" w:rsidRPr="003404EF" w14:paraId="4DEEA439" w14:textId="77777777" w:rsidTr="003404EF">
        <w:trPr>
          <w:tblCellSpacing w:w="0" w:type="dxa"/>
        </w:trPr>
        <w:tc>
          <w:tcPr>
            <w:tcW w:w="0" w:type="auto"/>
            <w:shd w:val="clear" w:color="auto" w:fill="auto"/>
            <w:vAlign w:val="bottom"/>
            <w:hideMark/>
          </w:tcPr>
          <w:p w14:paraId="19BADDB4" w14:textId="77777777" w:rsidR="003404EF" w:rsidRPr="003404EF" w:rsidRDefault="003404EF" w:rsidP="003404EF">
            <w:pPr>
              <w:spacing w:after="0" w:line="315" w:lineRule="atLeas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Notes payable</w:t>
            </w:r>
          </w:p>
        </w:tc>
        <w:tc>
          <w:tcPr>
            <w:tcW w:w="0" w:type="auto"/>
            <w:shd w:val="clear" w:color="auto" w:fill="auto"/>
            <w:vAlign w:val="center"/>
            <w:hideMark/>
          </w:tcPr>
          <w:p w14:paraId="30D7F891" w14:textId="05818733" w:rsidR="003404EF" w:rsidRPr="003404EF" w:rsidRDefault="003404EF" w:rsidP="003404EF">
            <w:pPr>
              <w:spacing w:after="0" w:line="315" w:lineRule="atLeast"/>
              <w:jc w:val="center"/>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w:t>
            </w:r>
            <w:r w:rsidRPr="003404EF">
              <w:rPr>
                <w:rFonts w:ascii="Verdana" w:eastAsia="Times New Roman" w:hAnsi="Verdana" w:cs="Times New Roman"/>
                <w:color w:val="000000"/>
                <w:sz w:val="18"/>
                <w:szCs w:val="18"/>
              </w:rPr>
              <w:object w:dxaOrig="1440" w:dyaOrig="1440" w14:anchorId="031BA147">
                <v:shape id="_x0000_i1289" type="#_x0000_t75" style="width:42pt;height:18pt" o:ole="">
                  <v:imagedata r:id="rId5" o:title=""/>
                </v:shape>
                <w:control r:id="rId14" w:name="DefaultOcxName17" w:shapeid="_x0000_i1289"/>
              </w:object>
            </w:r>
            <w:r w:rsidRPr="003404EF">
              <w:rPr>
                <w:rFonts w:ascii="Verdana" w:eastAsia="Times New Roman" w:hAnsi="Verdana" w:cs="Times New Roman"/>
                <w:color w:val="000000"/>
                <w:sz w:val="18"/>
                <w:szCs w:val="18"/>
              </w:rPr>
              <w:t xml:space="preserve"> </w:t>
            </w:r>
          </w:p>
        </w:tc>
        <w:tc>
          <w:tcPr>
            <w:tcW w:w="0" w:type="auto"/>
            <w:shd w:val="clear" w:color="auto" w:fill="auto"/>
            <w:vAlign w:val="center"/>
            <w:hideMark/>
          </w:tcPr>
          <w:p w14:paraId="686792AA" w14:textId="4746E475" w:rsidR="003404EF" w:rsidRPr="003404EF" w:rsidRDefault="003404EF" w:rsidP="003404EF">
            <w:pPr>
              <w:spacing w:after="0" w:line="315" w:lineRule="atLeast"/>
              <w:jc w:val="center"/>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w:t>
            </w:r>
            <w:r w:rsidRPr="003404EF">
              <w:rPr>
                <w:rFonts w:ascii="Verdana" w:eastAsia="Times New Roman" w:hAnsi="Verdana" w:cs="Times New Roman"/>
                <w:color w:val="000000"/>
                <w:sz w:val="18"/>
                <w:szCs w:val="18"/>
              </w:rPr>
              <w:object w:dxaOrig="1440" w:dyaOrig="1440" w14:anchorId="5606DCA9">
                <v:shape id="_x0000_i1288" type="#_x0000_t75" style="width:42pt;height:18pt" o:ole="">
                  <v:imagedata r:id="rId5" o:title=""/>
                </v:shape>
                <w:control r:id="rId15" w:name="DefaultOcxName16" w:shapeid="_x0000_i1288"/>
              </w:object>
            </w:r>
            <w:r w:rsidRPr="003404EF">
              <w:rPr>
                <w:rFonts w:ascii="Verdana" w:eastAsia="Times New Roman" w:hAnsi="Verdana" w:cs="Times New Roman"/>
                <w:color w:val="000000"/>
                <w:sz w:val="18"/>
                <w:szCs w:val="18"/>
              </w:rPr>
              <w:t xml:space="preserve"> </w:t>
            </w:r>
          </w:p>
        </w:tc>
        <w:tc>
          <w:tcPr>
            <w:tcW w:w="0" w:type="auto"/>
            <w:shd w:val="clear" w:color="auto" w:fill="auto"/>
            <w:vAlign w:val="center"/>
            <w:hideMark/>
          </w:tcPr>
          <w:p w14:paraId="6872623E" w14:textId="15C172FE" w:rsidR="003404EF" w:rsidRPr="003404EF" w:rsidRDefault="003404EF" w:rsidP="003404EF">
            <w:pPr>
              <w:spacing w:after="0" w:line="315" w:lineRule="atLeast"/>
              <w:jc w:val="center"/>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w:t>
            </w:r>
            <w:r w:rsidRPr="003404EF">
              <w:rPr>
                <w:rFonts w:ascii="Verdana" w:eastAsia="Times New Roman" w:hAnsi="Verdana" w:cs="Times New Roman"/>
                <w:color w:val="000000"/>
                <w:sz w:val="18"/>
                <w:szCs w:val="18"/>
              </w:rPr>
              <w:object w:dxaOrig="1440" w:dyaOrig="1440" w14:anchorId="604C1E41">
                <v:shape id="_x0000_i1287" type="#_x0000_t75" style="width:42pt;height:18pt" o:ole="">
                  <v:imagedata r:id="rId5" o:title=""/>
                </v:shape>
                <w:control r:id="rId16" w:name="DefaultOcxName21" w:shapeid="_x0000_i1287"/>
              </w:object>
            </w:r>
            <w:r w:rsidRPr="003404EF">
              <w:rPr>
                <w:rFonts w:ascii="Verdana" w:eastAsia="Times New Roman" w:hAnsi="Verdana" w:cs="Times New Roman"/>
                <w:color w:val="000000"/>
                <w:sz w:val="18"/>
                <w:szCs w:val="18"/>
              </w:rPr>
              <w:t xml:space="preserve"> </w:t>
            </w:r>
          </w:p>
        </w:tc>
        <w:tc>
          <w:tcPr>
            <w:tcW w:w="0" w:type="auto"/>
            <w:shd w:val="clear" w:color="auto" w:fill="auto"/>
            <w:hideMark/>
          </w:tcPr>
          <w:p w14:paraId="072FC03D" w14:textId="5A7ABD21" w:rsidR="003404EF" w:rsidRPr="003404EF" w:rsidRDefault="003404EF" w:rsidP="003404EF">
            <w:pPr>
              <w:spacing w:after="0" w:line="315" w:lineRule="atLeast"/>
              <w:jc w:val="center"/>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object w:dxaOrig="1440" w:dyaOrig="1440" w14:anchorId="633192CE">
                <v:shape id="_x0000_i1286" type="#_x0000_t75" style="width:42pt;height:18pt" o:ole="">
                  <v:imagedata r:id="rId5" o:title=""/>
                </v:shape>
                <w:control r:id="rId17" w:name="DefaultOcxName31" w:shapeid="_x0000_i1286"/>
              </w:object>
            </w:r>
            <w:r w:rsidRPr="003404EF">
              <w:rPr>
                <w:rFonts w:ascii="Verdana" w:eastAsia="Times New Roman" w:hAnsi="Verdana" w:cs="Times New Roman"/>
                <w:color w:val="000000"/>
                <w:sz w:val="18"/>
                <w:szCs w:val="18"/>
              </w:rPr>
              <w:t>%</w:t>
            </w:r>
          </w:p>
        </w:tc>
      </w:tr>
      <w:tr w:rsidR="003404EF" w:rsidRPr="003404EF" w14:paraId="14A1611E" w14:textId="77777777" w:rsidTr="003404EF">
        <w:trPr>
          <w:tblCellSpacing w:w="0" w:type="dxa"/>
        </w:trPr>
        <w:tc>
          <w:tcPr>
            <w:tcW w:w="0" w:type="auto"/>
            <w:shd w:val="clear" w:color="auto" w:fill="auto"/>
            <w:vAlign w:val="bottom"/>
            <w:hideMark/>
          </w:tcPr>
          <w:p w14:paraId="571F0429" w14:textId="77777777" w:rsidR="003404EF" w:rsidRPr="003404EF" w:rsidRDefault="003404EF" w:rsidP="003404EF">
            <w:pPr>
              <w:spacing w:after="0" w:line="315" w:lineRule="atLeas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Accounts payable</w:t>
            </w:r>
          </w:p>
        </w:tc>
        <w:tc>
          <w:tcPr>
            <w:tcW w:w="0" w:type="auto"/>
            <w:shd w:val="clear" w:color="auto" w:fill="auto"/>
            <w:vAlign w:val="center"/>
            <w:hideMark/>
          </w:tcPr>
          <w:p w14:paraId="5BEF707C" w14:textId="2A91DBE2" w:rsidR="003404EF" w:rsidRPr="003404EF" w:rsidRDefault="003404EF" w:rsidP="003404EF">
            <w:pPr>
              <w:spacing w:after="0" w:line="315" w:lineRule="atLeast"/>
              <w:jc w:val="center"/>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w:t>
            </w:r>
            <w:r w:rsidRPr="003404EF">
              <w:rPr>
                <w:rFonts w:ascii="Verdana" w:eastAsia="Times New Roman" w:hAnsi="Verdana" w:cs="Times New Roman"/>
                <w:color w:val="000000"/>
                <w:sz w:val="18"/>
                <w:szCs w:val="18"/>
              </w:rPr>
              <w:object w:dxaOrig="1440" w:dyaOrig="1440" w14:anchorId="7FD9D7F3">
                <v:shape id="_x0000_i1285" type="#_x0000_t75" style="width:42pt;height:18pt" o:ole="">
                  <v:imagedata r:id="rId5" o:title=""/>
                </v:shape>
                <w:control r:id="rId18" w:name="DefaultOcxName41" w:shapeid="_x0000_i1285"/>
              </w:object>
            </w:r>
            <w:r w:rsidRPr="003404EF">
              <w:rPr>
                <w:rFonts w:ascii="Verdana" w:eastAsia="Times New Roman" w:hAnsi="Verdana" w:cs="Times New Roman"/>
                <w:color w:val="000000"/>
                <w:sz w:val="18"/>
                <w:szCs w:val="18"/>
              </w:rPr>
              <w:t xml:space="preserve"> </w:t>
            </w:r>
          </w:p>
        </w:tc>
        <w:tc>
          <w:tcPr>
            <w:tcW w:w="0" w:type="auto"/>
            <w:shd w:val="clear" w:color="auto" w:fill="auto"/>
            <w:vAlign w:val="center"/>
            <w:hideMark/>
          </w:tcPr>
          <w:p w14:paraId="0BBB2BDA" w14:textId="47C9D939" w:rsidR="003404EF" w:rsidRPr="003404EF" w:rsidRDefault="003404EF" w:rsidP="003404EF">
            <w:pPr>
              <w:spacing w:after="0" w:line="315" w:lineRule="atLeast"/>
              <w:jc w:val="center"/>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w:t>
            </w:r>
            <w:r w:rsidRPr="003404EF">
              <w:rPr>
                <w:rFonts w:ascii="Verdana" w:eastAsia="Times New Roman" w:hAnsi="Verdana" w:cs="Times New Roman"/>
                <w:color w:val="000000"/>
                <w:sz w:val="18"/>
                <w:szCs w:val="18"/>
              </w:rPr>
              <w:object w:dxaOrig="1440" w:dyaOrig="1440" w14:anchorId="633E93CA">
                <v:shape id="_x0000_i1284" type="#_x0000_t75" style="width:42pt;height:18pt" o:ole="">
                  <v:imagedata r:id="rId5" o:title=""/>
                </v:shape>
                <w:control r:id="rId19" w:name="DefaultOcxName5" w:shapeid="_x0000_i1284"/>
              </w:object>
            </w:r>
            <w:r w:rsidRPr="003404EF">
              <w:rPr>
                <w:rFonts w:ascii="Verdana" w:eastAsia="Times New Roman" w:hAnsi="Verdana" w:cs="Times New Roman"/>
                <w:color w:val="000000"/>
                <w:sz w:val="18"/>
                <w:szCs w:val="18"/>
              </w:rPr>
              <w:t xml:space="preserve"> </w:t>
            </w:r>
          </w:p>
        </w:tc>
        <w:tc>
          <w:tcPr>
            <w:tcW w:w="0" w:type="auto"/>
            <w:shd w:val="clear" w:color="auto" w:fill="auto"/>
            <w:vAlign w:val="center"/>
            <w:hideMark/>
          </w:tcPr>
          <w:p w14:paraId="268E05C4" w14:textId="3DF8595A" w:rsidR="003404EF" w:rsidRPr="003404EF" w:rsidRDefault="003404EF" w:rsidP="003404EF">
            <w:pPr>
              <w:spacing w:after="0" w:line="315" w:lineRule="atLeast"/>
              <w:jc w:val="center"/>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w:t>
            </w:r>
            <w:r w:rsidRPr="003404EF">
              <w:rPr>
                <w:rFonts w:ascii="Verdana" w:eastAsia="Times New Roman" w:hAnsi="Verdana" w:cs="Times New Roman"/>
                <w:color w:val="000000"/>
                <w:sz w:val="18"/>
                <w:szCs w:val="18"/>
              </w:rPr>
              <w:object w:dxaOrig="1440" w:dyaOrig="1440" w14:anchorId="72B898CD">
                <v:shape id="_x0000_i1283" type="#_x0000_t75" style="width:42pt;height:18pt" o:ole="">
                  <v:imagedata r:id="rId5" o:title=""/>
                </v:shape>
                <w:control r:id="rId20" w:name="DefaultOcxName6" w:shapeid="_x0000_i1283"/>
              </w:object>
            </w:r>
            <w:r w:rsidRPr="003404EF">
              <w:rPr>
                <w:rFonts w:ascii="Verdana" w:eastAsia="Times New Roman" w:hAnsi="Verdana" w:cs="Times New Roman"/>
                <w:color w:val="000000"/>
                <w:sz w:val="18"/>
                <w:szCs w:val="18"/>
              </w:rPr>
              <w:t xml:space="preserve"> </w:t>
            </w:r>
          </w:p>
        </w:tc>
        <w:tc>
          <w:tcPr>
            <w:tcW w:w="0" w:type="auto"/>
            <w:shd w:val="clear" w:color="auto" w:fill="auto"/>
            <w:hideMark/>
          </w:tcPr>
          <w:p w14:paraId="317FF331" w14:textId="21372B77" w:rsidR="003404EF" w:rsidRPr="003404EF" w:rsidRDefault="003404EF" w:rsidP="003404EF">
            <w:pPr>
              <w:spacing w:after="0" w:line="315" w:lineRule="atLeast"/>
              <w:jc w:val="center"/>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object w:dxaOrig="1440" w:dyaOrig="1440" w14:anchorId="2ECAEA4F">
                <v:shape id="_x0000_i1282" type="#_x0000_t75" style="width:42pt;height:18pt" o:ole="">
                  <v:imagedata r:id="rId5" o:title=""/>
                </v:shape>
                <w:control r:id="rId21" w:name="DefaultOcxName7" w:shapeid="_x0000_i1282"/>
              </w:object>
            </w:r>
            <w:r w:rsidRPr="003404EF">
              <w:rPr>
                <w:rFonts w:ascii="Verdana" w:eastAsia="Times New Roman" w:hAnsi="Verdana" w:cs="Times New Roman"/>
                <w:color w:val="000000"/>
                <w:sz w:val="18"/>
                <w:szCs w:val="18"/>
              </w:rPr>
              <w:t>%</w:t>
            </w:r>
          </w:p>
        </w:tc>
      </w:tr>
      <w:tr w:rsidR="003404EF" w:rsidRPr="003404EF" w14:paraId="47603FA2" w14:textId="77777777" w:rsidTr="003404EF">
        <w:trPr>
          <w:tblCellSpacing w:w="0" w:type="dxa"/>
        </w:trPr>
        <w:tc>
          <w:tcPr>
            <w:tcW w:w="0" w:type="auto"/>
            <w:shd w:val="clear" w:color="auto" w:fill="auto"/>
            <w:vAlign w:val="bottom"/>
            <w:hideMark/>
          </w:tcPr>
          <w:p w14:paraId="0E1765DD" w14:textId="77777777" w:rsidR="003404EF" w:rsidRPr="003404EF" w:rsidRDefault="003404EF" w:rsidP="003404EF">
            <w:pPr>
              <w:spacing w:after="0" w:line="315" w:lineRule="atLeas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Subordinated debentures</w:t>
            </w:r>
          </w:p>
        </w:tc>
        <w:tc>
          <w:tcPr>
            <w:tcW w:w="0" w:type="auto"/>
            <w:shd w:val="clear" w:color="auto" w:fill="auto"/>
            <w:vAlign w:val="center"/>
            <w:hideMark/>
          </w:tcPr>
          <w:p w14:paraId="32AB77F9" w14:textId="0397C64C" w:rsidR="003404EF" w:rsidRPr="003404EF" w:rsidRDefault="003404EF" w:rsidP="003404EF">
            <w:pPr>
              <w:spacing w:after="0" w:line="315" w:lineRule="atLeast"/>
              <w:jc w:val="center"/>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w:t>
            </w:r>
            <w:r w:rsidRPr="003404EF">
              <w:rPr>
                <w:rFonts w:ascii="Verdana" w:eastAsia="Times New Roman" w:hAnsi="Verdana" w:cs="Times New Roman"/>
                <w:color w:val="000000"/>
                <w:sz w:val="18"/>
                <w:szCs w:val="18"/>
              </w:rPr>
              <w:object w:dxaOrig="1440" w:dyaOrig="1440" w14:anchorId="398B99AA">
                <v:shape id="_x0000_i1281" type="#_x0000_t75" style="width:42pt;height:18pt" o:ole="">
                  <v:imagedata r:id="rId5" o:title=""/>
                </v:shape>
                <w:control r:id="rId22" w:name="DefaultOcxName8" w:shapeid="_x0000_i1281"/>
              </w:object>
            </w:r>
            <w:r w:rsidRPr="003404EF">
              <w:rPr>
                <w:rFonts w:ascii="Verdana" w:eastAsia="Times New Roman" w:hAnsi="Verdana" w:cs="Times New Roman"/>
                <w:color w:val="000000"/>
                <w:sz w:val="18"/>
                <w:szCs w:val="18"/>
              </w:rPr>
              <w:t xml:space="preserve"> </w:t>
            </w:r>
          </w:p>
        </w:tc>
        <w:tc>
          <w:tcPr>
            <w:tcW w:w="0" w:type="auto"/>
            <w:shd w:val="clear" w:color="auto" w:fill="auto"/>
            <w:vAlign w:val="center"/>
            <w:hideMark/>
          </w:tcPr>
          <w:p w14:paraId="77265722" w14:textId="5FD7DAD0" w:rsidR="003404EF" w:rsidRPr="003404EF" w:rsidRDefault="003404EF" w:rsidP="003404EF">
            <w:pPr>
              <w:spacing w:after="0" w:line="315" w:lineRule="atLeast"/>
              <w:jc w:val="center"/>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w:t>
            </w:r>
            <w:r w:rsidRPr="003404EF">
              <w:rPr>
                <w:rFonts w:ascii="Verdana" w:eastAsia="Times New Roman" w:hAnsi="Verdana" w:cs="Times New Roman"/>
                <w:color w:val="000000"/>
                <w:sz w:val="18"/>
                <w:szCs w:val="18"/>
              </w:rPr>
              <w:object w:dxaOrig="1440" w:dyaOrig="1440" w14:anchorId="3B92D4BE">
                <v:shape id="_x0000_i1280" type="#_x0000_t75" style="width:42pt;height:18pt" o:ole="">
                  <v:imagedata r:id="rId5" o:title=""/>
                </v:shape>
                <w:control r:id="rId23" w:name="DefaultOcxName9" w:shapeid="_x0000_i1280"/>
              </w:object>
            </w:r>
            <w:r w:rsidRPr="003404EF">
              <w:rPr>
                <w:rFonts w:ascii="Verdana" w:eastAsia="Times New Roman" w:hAnsi="Verdana" w:cs="Times New Roman"/>
                <w:color w:val="000000"/>
                <w:sz w:val="18"/>
                <w:szCs w:val="18"/>
              </w:rPr>
              <w:t xml:space="preserve"> </w:t>
            </w:r>
          </w:p>
        </w:tc>
        <w:tc>
          <w:tcPr>
            <w:tcW w:w="0" w:type="auto"/>
            <w:shd w:val="clear" w:color="auto" w:fill="auto"/>
            <w:vAlign w:val="center"/>
            <w:hideMark/>
          </w:tcPr>
          <w:p w14:paraId="14E99EBA" w14:textId="533AF7D1" w:rsidR="003404EF" w:rsidRPr="003404EF" w:rsidRDefault="003404EF" w:rsidP="003404EF">
            <w:pPr>
              <w:spacing w:after="0" w:line="315" w:lineRule="atLeast"/>
              <w:jc w:val="center"/>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w:t>
            </w:r>
            <w:r w:rsidRPr="003404EF">
              <w:rPr>
                <w:rFonts w:ascii="Verdana" w:eastAsia="Times New Roman" w:hAnsi="Verdana" w:cs="Times New Roman"/>
                <w:color w:val="000000"/>
                <w:sz w:val="18"/>
                <w:szCs w:val="18"/>
              </w:rPr>
              <w:object w:dxaOrig="1440" w:dyaOrig="1440" w14:anchorId="0AF84987">
                <v:shape id="_x0000_i1279" type="#_x0000_t75" style="width:42pt;height:18pt" o:ole="">
                  <v:imagedata r:id="rId5" o:title=""/>
                </v:shape>
                <w:control r:id="rId24" w:name="DefaultOcxName10" w:shapeid="_x0000_i1279"/>
              </w:object>
            </w:r>
            <w:r w:rsidRPr="003404EF">
              <w:rPr>
                <w:rFonts w:ascii="Verdana" w:eastAsia="Times New Roman" w:hAnsi="Verdana" w:cs="Times New Roman"/>
                <w:color w:val="000000"/>
                <w:sz w:val="18"/>
                <w:szCs w:val="18"/>
              </w:rPr>
              <w:t xml:space="preserve"> </w:t>
            </w:r>
          </w:p>
        </w:tc>
        <w:tc>
          <w:tcPr>
            <w:tcW w:w="0" w:type="auto"/>
            <w:shd w:val="clear" w:color="auto" w:fill="auto"/>
            <w:hideMark/>
          </w:tcPr>
          <w:p w14:paraId="617B0449" w14:textId="2E4143CB" w:rsidR="003404EF" w:rsidRPr="003404EF" w:rsidRDefault="003404EF" w:rsidP="003404EF">
            <w:pPr>
              <w:spacing w:after="0" w:line="315" w:lineRule="atLeast"/>
              <w:jc w:val="center"/>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object w:dxaOrig="1440" w:dyaOrig="1440" w14:anchorId="722984F9">
                <v:shape id="_x0000_i1278" type="#_x0000_t75" style="width:42pt;height:18pt" o:ole="">
                  <v:imagedata r:id="rId5" o:title=""/>
                </v:shape>
                <w:control r:id="rId25" w:name="DefaultOcxName111" w:shapeid="_x0000_i1278"/>
              </w:object>
            </w:r>
            <w:r w:rsidRPr="003404EF">
              <w:rPr>
                <w:rFonts w:ascii="Verdana" w:eastAsia="Times New Roman" w:hAnsi="Verdana" w:cs="Times New Roman"/>
                <w:color w:val="000000"/>
                <w:sz w:val="18"/>
                <w:szCs w:val="18"/>
              </w:rPr>
              <w:t>%</w:t>
            </w:r>
          </w:p>
        </w:tc>
      </w:tr>
      <w:tr w:rsidR="003404EF" w:rsidRPr="003404EF" w14:paraId="3910A1DB" w14:textId="77777777" w:rsidTr="003404EF">
        <w:trPr>
          <w:tblCellSpacing w:w="0" w:type="dxa"/>
        </w:trPr>
        <w:tc>
          <w:tcPr>
            <w:tcW w:w="0" w:type="auto"/>
            <w:shd w:val="clear" w:color="auto" w:fill="auto"/>
            <w:vAlign w:val="bottom"/>
            <w:hideMark/>
          </w:tcPr>
          <w:p w14:paraId="5275FEE5" w14:textId="77777777" w:rsidR="003404EF" w:rsidRPr="003404EF" w:rsidRDefault="003404EF" w:rsidP="003404EF">
            <w:pPr>
              <w:spacing w:after="0" w:line="315" w:lineRule="atLeas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Total</w:t>
            </w:r>
          </w:p>
        </w:tc>
        <w:tc>
          <w:tcPr>
            <w:tcW w:w="0" w:type="auto"/>
            <w:shd w:val="clear" w:color="auto" w:fill="auto"/>
            <w:vAlign w:val="center"/>
            <w:hideMark/>
          </w:tcPr>
          <w:p w14:paraId="13C07741" w14:textId="4FD513F9" w:rsidR="003404EF" w:rsidRPr="003404EF" w:rsidRDefault="003404EF" w:rsidP="003404EF">
            <w:pPr>
              <w:spacing w:after="0" w:line="315" w:lineRule="atLeast"/>
              <w:jc w:val="center"/>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w:t>
            </w:r>
            <w:r w:rsidRPr="003404EF">
              <w:rPr>
                <w:rFonts w:ascii="Verdana" w:eastAsia="Times New Roman" w:hAnsi="Verdana" w:cs="Times New Roman"/>
                <w:color w:val="000000"/>
                <w:sz w:val="18"/>
                <w:szCs w:val="18"/>
              </w:rPr>
              <w:object w:dxaOrig="1440" w:dyaOrig="1440" w14:anchorId="3DDF48DB">
                <v:shape id="_x0000_i1277" type="#_x0000_t75" style="width:42pt;height:18pt" o:ole="">
                  <v:imagedata r:id="rId5" o:title=""/>
                </v:shape>
                <w:control r:id="rId26" w:name="DefaultOcxName121" w:shapeid="_x0000_i1277"/>
              </w:object>
            </w:r>
            <w:r w:rsidRPr="003404EF">
              <w:rPr>
                <w:rFonts w:ascii="Verdana" w:eastAsia="Times New Roman" w:hAnsi="Verdana" w:cs="Times New Roman"/>
                <w:color w:val="000000"/>
                <w:sz w:val="18"/>
                <w:szCs w:val="18"/>
              </w:rPr>
              <w:t xml:space="preserve"> </w:t>
            </w:r>
          </w:p>
        </w:tc>
        <w:tc>
          <w:tcPr>
            <w:tcW w:w="0" w:type="auto"/>
            <w:shd w:val="clear" w:color="auto" w:fill="auto"/>
            <w:vAlign w:val="center"/>
            <w:hideMark/>
          </w:tcPr>
          <w:p w14:paraId="59ABA6D8" w14:textId="41E6C2A3" w:rsidR="003404EF" w:rsidRPr="003404EF" w:rsidRDefault="003404EF" w:rsidP="003404EF">
            <w:pPr>
              <w:spacing w:after="0" w:line="315" w:lineRule="atLeast"/>
              <w:jc w:val="center"/>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w:t>
            </w:r>
            <w:r w:rsidRPr="003404EF">
              <w:rPr>
                <w:rFonts w:ascii="Verdana" w:eastAsia="Times New Roman" w:hAnsi="Verdana" w:cs="Times New Roman"/>
                <w:color w:val="000000"/>
                <w:sz w:val="18"/>
                <w:szCs w:val="18"/>
              </w:rPr>
              <w:object w:dxaOrig="1440" w:dyaOrig="1440" w14:anchorId="39FAD1E6">
                <v:shape id="_x0000_i1276" type="#_x0000_t75" style="width:42pt;height:18pt" o:ole="">
                  <v:imagedata r:id="rId5" o:title=""/>
                </v:shape>
                <w:control r:id="rId27" w:name="DefaultOcxName13" w:shapeid="_x0000_i1276"/>
              </w:object>
            </w:r>
            <w:r w:rsidRPr="003404EF">
              <w:rPr>
                <w:rFonts w:ascii="Verdana" w:eastAsia="Times New Roman" w:hAnsi="Verdana" w:cs="Times New Roman"/>
                <w:color w:val="000000"/>
                <w:sz w:val="18"/>
                <w:szCs w:val="18"/>
              </w:rPr>
              <w:t xml:space="preserve"> </w:t>
            </w:r>
          </w:p>
        </w:tc>
        <w:tc>
          <w:tcPr>
            <w:tcW w:w="0" w:type="auto"/>
            <w:shd w:val="clear" w:color="auto" w:fill="auto"/>
            <w:vAlign w:val="center"/>
            <w:hideMark/>
          </w:tcPr>
          <w:p w14:paraId="292C8915" w14:textId="25BCB9E7" w:rsidR="003404EF" w:rsidRPr="003404EF" w:rsidRDefault="003404EF" w:rsidP="003404EF">
            <w:pPr>
              <w:spacing w:after="0" w:line="315" w:lineRule="atLeast"/>
              <w:jc w:val="center"/>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w:t>
            </w:r>
            <w:r w:rsidRPr="003404EF">
              <w:rPr>
                <w:rFonts w:ascii="Verdana" w:eastAsia="Times New Roman" w:hAnsi="Verdana" w:cs="Times New Roman"/>
                <w:color w:val="000000"/>
                <w:sz w:val="18"/>
                <w:szCs w:val="18"/>
              </w:rPr>
              <w:object w:dxaOrig="1440" w:dyaOrig="1440" w14:anchorId="66534450">
                <v:shape id="_x0000_i1275" type="#_x0000_t75" style="width:42pt;height:18pt" o:ole="">
                  <v:imagedata r:id="rId5" o:title=""/>
                </v:shape>
                <w:control r:id="rId28" w:name="DefaultOcxName14" w:shapeid="_x0000_i1275"/>
              </w:object>
            </w:r>
            <w:r w:rsidRPr="003404EF">
              <w:rPr>
                <w:rFonts w:ascii="Verdana" w:eastAsia="Times New Roman" w:hAnsi="Verdana" w:cs="Times New Roman"/>
                <w:color w:val="000000"/>
                <w:sz w:val="18"/>
                <w:szCs w:val="18"/>
              </w:rPr>
              <w:t xml:space="preserve"> </w:t>
            </w:r>
          </w:p>
        </w:tc>
        <w:tc>
          <w:tcPr>
            <w:tcW w:w="0" w:type="auto"/>
            <w:shd w:val="clear" w:color="auto" w:fill="auto"/>
            <w:hideMark/>
          </w:tcPr>
          <w:p w14:paraId="2C93B196" w14:textId="77777777" w:rsidR="003404EF" w:rsidRPr="003404EF" w:rsidRDefault="003404EF" w:rsidP="003404EF">
            <w:pPr>
              <w:spacing w:after="0" w:line="315" w:lineRule="atLeast"/>
              <w:jc w:val="center"/>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 </w:t>
            </w:r>
          </w:p>
        </w:tc>
      </w:tr>
    </w:tbl>
    <w:p w14:paraId="4E1E2AA5" w14:textId="3BE04758" w:rsidR="003404EF" w:rsidRPr="003404EF" w:rsidRDefault="003404EF" w:rsidP="003404EF">
      <w:pPr>
        <w:spacing w:before="100" w:beforeAutospacing="1" w:after="0" w:line="315" w:lineRule="atLeas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lastRenderedPageBreak/>
        <w:t>The remaining $</w:t>
      </w:r>
      <w:r w:rsidRPr="003404EF">
        <w:rPr>
          <w:rFonts w:ascii="Verdana" w:eastAsia="Times New Roman" w:hAnsi="Verdana" w:cs="Times New Roman"/>
          <w:color w:val="000000"/>
          <w:sz w:val="18"/>
          <w:szCs w:val="18"/>
        </w:rPr>
        <w:object w:dxaOrig="1440" w:dyaOrig="1440" w14:anchorId="23709026">
          <v:shape id="_x0000_i1274" type="#_x0000_t75" style="width:42pt;height:18pt" o:ole="">
            <v:imagedata r:id="rId5" o:title=""/>
          </v:shape>
          <w:control r:id="rId29" w:name="DefaultOcxName15" w:shapeid="_x0000_i1274"/>
        </w:object>
      </w:r>
      <w:r w:rsidRPr="003404EF">
        <w:rPr>
          <w:rFonts w:ascii="Verdana" w:eastAsia="Times New Roman" w:hAnsi="Verdana" w:cs="Times New Roman"/>
          <w:color w:val="000000"/>
          <w:sz w:val="18"/>
          <w:szCs w:val="18"/>
        </w:rPr>
        <w:t xml:space="preserve"> will go to the common stockholders.</w:t>
      </w:r>
    </w:p>
    <w:p w14:paraId="651D1BB3" w14:textId="77777777" w:rsidR="003404EF" w:rsidRDefault="003404EF">
      <w:bookmarkStart w:id="0" w:name="_GoBack"/>
      <w:bookmarkEnd w:id="0"/>
    </w:p>
    <w:sectPr w:rsidR="003404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8649AA"/>
    <w:multiLevelType w:val="multilevel"/>
    <w:tmpl w:val="65DE728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439D1634"/>
    <w:multiLevelType w:val="multilevel"/>
    <w:tmpl w:val="DB28226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3BC4DE0"/>
    <w:multiLevelType w:val="multilevel"/>
    <w:tmpl w:val="C5D8844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4EF"/>
    <w:rsid w:val="003404EF"/>
    <w:rsid w:val="008B39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FD2D9"/>
  <w15:chartTrackingRefBased/>
  <w15:docId w15:val="{2A0E7CFD-55C2-4F11-BD3D-16BE9AE97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404E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404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2674002">
      <w:bodyDiv w:val="1"/>
      <w:marLeft w:val="0"/>
      <w:marRight w:val="0"/>
      <w:marTop w:val="0"/>
      <w:marBottom w:val="0"/>
      <w:divBdr>
        <w:top w:val="none" w:sz="0" w:space="0" w:color="auto"/>
        <w:left w:val="none" w:sz="0" w:space="0" w:color="auto"/>
        <w:bottom w:val="none" w:sz="0" w:space="0" w:color="auto"/>
        <w:right w:val="none" w:sz="0" w:space="0" w:color="auto"/>
      </w:divBdr>
      <w:divsChild>
        <w:div w:id="1229613201">
          <w:marLeft w:val="150"/>
          <w:marRight w:val="150"/>
          <w:marTop w:val="0"/>
          <w:marBottom w:val="0"/>
          <w:divBdr>
            <w:top w:val="none" w:sz="0" w:space="0" w:color="auto"/>
            <w:left w:val="none" w:sz="0" w:space="0" w:color="auto"/>
            <w:bottom w:val="none" w:sz="0" w:space="0" w:color="auto"/>
            <w:right w:val="none" w:sz="0" w:space="0" w:color="auto"/>
          </w:divBdr>
          <w:divsChild>
            <w:div w:id="454832387">
              <w:marLeft w:val="150"/>
              <w:marRight w:val="0"/>
              <w:marTop w:val="0"/>
              <w:marBottom w:val="0"/>
              <w:divBdr>
                <w:top w:val="none" w:sz="0" w:space="0" w:color="auto"/>
                <w:left w:val="none" w:sz="0" w:space="0" w:color="auto"/>
                <w:bottom w:val="none" w:sz="0" w:space="0" w:color="auto"/>
                <w:right w:val="none" w:sz="0" w:space="0" w:color="auto"/>
              </w:divBdr>
              <w:divsChild>
                <w:div w:id="994994357">
                  <w:marLeft w:val="0"/>
                  <w:marRight w:val="0"/>
                  <w:marTop w:val="0"/>
                  <w:marBottom w:val="0"/>
                  <w:divBdr>
                    <w:top w:val="none" w:sz="0" w:space="0" w:color="auto"/>
                    <w:left w:val="none" w:sz="0" w:space="0" w:color="auto"/>
                    <w:bottom w:val="none" w:sz="0" w:space="0" w:color="auto"/>
                    <w:right w:val="none" w:sz="0" w:space="0" w:color="auto"/>
                  </w:divBdr>
                  <w:divsChild>
                    <w:div w:id="2026134206">
                      <w:marLeft w:val="0"/>
                      <w:marRight w:val="0"/>
                      <w:marTop w:val="0"/>
                      <w:marBottom w:val="0"/>
                      <w:divBdr>
                        <w:top w:val="none" w:sz="0" w:space="0" w:color="auto"/>
                        <w:left w:val="none" w:sz="0" w:space="0" w:color="auto"/>
                        <w:bottom w:val="none" w:sz="0" w:space="0" w:color="auto"/>
                        <w:right w:val="none" w:sz="0" w:space="0" w:color="auto"/>
                      </w:divBdr>
                      <w:divsChild>
                        <w:div w:id="1822845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5243639">
      <w:bodyDiv w:val="1"/>
      <w:marLeft w:val="0"/>
      <w:marRight w:val="0"/>
      <w:marTop w:val="0"/>
      <w:marBottom w:val="0"/>
      <w:divBdr>
        <w:top w:val="none" w:sz="0" w:space="0" w:color="auto"/>
        <w:left w:val="none" w:sz="0" w:space="0" w:color="auto"/>
        <w:bottom w:val="none" w:sz="0" w:space="0" w:color="auto"/>
        <w:right w:val="none" w:sz="0" w:space="0" w:color="auto"/>
      </w:divBdr>
      <w:divsChild>
        <w:div w:id="2009282288">
          <w:marLeft w:val="0"/>
          <w:marRight w:val="0"/>
          <w:marTop w:val="0"/>
          <w:marBottom w:val="0"/>
          <w:divBdr>
            <w:top w:val="none" w:sz="0" w:space="0" w:color="auto"/>
            <w:left w:val="none" w:sz="0" w:space="0" w:color="auto"/>
            <w:bottom w:val="none" w:sz="0" w:space="0" w:color="auto"/>
            <w:right w:val="none" w:sz="0" w:space="0" w:color="auto"/>
          </w:divBdr>
        </w:div>
      </w:divsChild>
    </w:div>
    <w:div w:id="600114579">
      <w:bodyDiv w:val="1"/>
      <w:marLeft w:val="0"/>
      <w:marRight w:val="0"/>
      <w:marTop w:val="0"/>
      <w:marBottom w:val="0"/>
      <w:divBdr>
        <w:top w:val="none" w:sz="0" w:space="0" w:color="auto"/>
        <w:left w:val="none" w:sz="0" w:space="0" w:color="auto"/>
        <w:bottom w:val="none" w:sz="0" w:space="0" w:color="auto"/>
        <w:right w:val="none" w:sz="0" w:space="0" w:color="auto"/>
      </w:divBdr>
    </w:div>
    <w:div w:id="1548949297">
      <w:bodyDiv w:val="1"/>
      <w:marLeft w:val="0"/>
      <w:marRight w:val="0"/>
      <w:marTop w:val="0"/>
      <w:marBottom w:val="0"/>
      <w:divBdr>
        <w:top w:val="none" w:sz="0" w:space="0" w:color="auto"/>
        <w:left w:val="none" w:sz="0" w:space="0" w:color="auto"/>
        <w:bottom w:val="none" w:sz="0" w:space="0" w:color="auto"/>
        <w:right w:val="none" w:sz="0" w:space="0" w:color="auto"/>
      </w:divBdr>
      <w:divsChild>
        <w:div w:id="395008202">
          <w:marLeft w:val="0"/>
          <w:marRight w:val="0"/>
          <w:marTop w:val="0"/>
          <w:marBottom w:val="0"/>
          <w:divBdr>
            <w:top w:val="none" w:sz="0" w:space="0" w:color="auto"/>
            <w:left w:val="none" w:sz="0" w:space="0" w:color="auto"/>
            <w:bottom w:val="none" w:sz="0" w:space="0" w:color="auto"/>
            <w:right w:val="none" w:sz="0" w:space="0" w:color="auto"/>
          </w:divBdr>
          <w:divsChild>
            <w:div w:id="684288544">
              <w:marLeft w:val="0"/>
              <w:marRight w:val="0"/>
              <w:marTop w:val="0"/>
              <w:marBottom w:val="0"/>
              <w:divBdr>
                <w:top w:val="none" w:sz="0" w:space="0" w:color="auto"/>
                <w:left w:val="none" w:sz="0" w:space="0" w:color="auto"/>
                <w:bottom w:val="none" w:sz="0" w:space="0" w:color="auto"/>
                <w:right w:val="none" w:sz="0" w:space="0" w:color="auto"/>
              </w:divBdr>
            </w:div>
            <w:div w:id="1875654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469345">
      <w:bodyDiv w:val="1"/>
      <w:marLeft w:val="0"/>
      <w:marRight w:val="0"/>
      <w:marTop w:val="0"/>
      <w:marBottom w:val="0"/>
      <w:divBdr>
        <w:top w:val="none" w:sz="0" w:space="0" w:color="auto"/>
        <w:left w:val="none" w:sz="0" w:space="0" w:color="auto"/>
        <w:bottom w:val="none" w:sz="0" w:space="0" w:color="auto"/>
        <w:right w:val="none" w:sz="0" w:space="0" w:color="auto"/>
      </w:divBdr>
    </w:div>
    <w:div w:id="1986003739">
      <w:bodyDiv w:val="1"/>
      <w:marLeft w:val="0"/>
      <w:marRight w:val="0"/>
      <w:marTop w:val="0"/>
      <w:marBottom w:val="0"/>
      <w:divBdr>
        <w:top w:val="none" w:sz="0" w:space="0" w:color="auto"/>
        <w:left w:val="none" w:sz="0" w:space="0" w:color="auto"/>
        <w:bottom w:val="none" w:sz="0" w:space="0" w:color="auto"/>
        <w:right w:val="none" w:sz="0" w:space="0" w:color="auto"/>
      </w:divBdr>
      <w:divsChild>
        <w:div w:id="1911035487">
          <w:marLeft w:val="150"/>
          <w:marRight w:val="0"/>
          <w:marTop w:val="0"/>
          <w:marBottom w:val="0"/>
          <w:divBdr>
            <w:top w:val="none" w:sz="0" w:space="0" w:color="auto"/>
            <w:left w:val="none" w:sz="0" w:space="0" w:color="auto"/>
            <w:bottom w:val="none" w:sz="0" w:space="0" w:color="auto"/>
            <w:right w:val="none" w:sz="0" w:space="0" w:color="auto"/>
          </w:divBdr>
        </w:div>
        <w:div w:id="2055883297">
          <w:marLeft w:val="150"/>
          <w:marRight w:val="0"/>
          <w:marTop w:val="0"/>
          <w:marBottom w:val="0"/>
          <w:divBdr>
            <w:top w:val="none" w:sz="0" w:space="0" w:color="auto"/>
            <w:left w:val="none" w:sz="0" w:space="0" w:color="auto"/>
            <w:bottom w:val="none" w:sz="0" w:space="0" w:color="auto"/>
            <w:right w:val="none" w:sz="0" w:space="0" w:color="auto"/>
          </w:divBdr>
          <w:divsChild>
            <w:div w:id="2062365636">
              <w:marLeft w:val="0"/>
              <w:marRight w:val="0"/>
              <w:marTop w:val="0"/>
              <w:marBottom w:val="0"/>
              <w:divBdr>
                <w:top w:val="none" w:sz="0" w:space="0" w:color="auto"/>
                <w:left w:val="none" w:sz="0" w:space="0" w:color="auto"/>
                <w:bottom w:val="none" w:sz="0" w:space="0" w:color="auto"/>
                <w:right w:val="none" w:sz="0" w:space="0" w:color="auto"/>
              </w:divBdr>
              <w:divsChild>
                <w:div w:id="1307200797">
                  <w:marLeft w:val="0"/>
                  <w:marRight w:val="0"/>
                  <w:marTop w:val="0"/>
                  <w:marBottom w:val="0"/>
                  <w:divBdr>
                    <w:top w:val="none" w:sz="0" w:space="0" w:color="auto"/>
                    <w:left w:val="none" w:sz="0" w:space="0" w:color="auto"/>
                    <w:bottom w:val="none" w:sz="0" w:space="0" w:color="auto"/>
                    <w:right w:val="none" w:sz="0" w:space="0" w:color="auto"/>
                  </w:divBdr>
                </w:div>
              </w:divsChild>
            </w:div>
            <w:div w:id="1745911259">
              <w:marLeft w:val="0"/>
              <w:marRight w:val="0"/>
              <w:marTop w:val="0"/>
              <w:marBottom w:val="0"/>
              <w:divBdr>
                <w:top w:val="none" w:sz="0" w:space="0" w:color="auto"/>
                <w:left w:val="none" w:sz="0" w:space="0" w:color="auto"/>
                <w:bottom w:val="none" w:sz="0" w:space="0" w:color="auto"/>
                <w:right w:val="none" w:sz="0" w:space="0" w:color="auto"/>
              </w:divBdr>
              <w:divsChild>
                <w:div w:id="1382090593">
                  <w:marLeft w:val="0"/>
                  <w:marRight w:val="0"/>
                  <w:marTop w:val="0"/>
                  <w:marBottom w:val="0"/>
                  <w:divBdr>
                    <w:top w:val="none" w:sz="0" w:space="0" w:color="auto"/>
                    <w:left w:val="none" w:sz="0" w:space="0" w:color="auto"/>
                    <w:bottom w:val="none" w:sz="0" w:space="0" w:color="auto"/>
                    <w:right w:val="none" w:sz="0" w:space="0" w:color="auto"/>
                  </w:divBdr>
                  <w:divsChild>
                    <w:div w:id="1976904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3.xml"/><Relationship Id="rId13" Type="http://schemas.openxmlformats.org/officeDocument/2006/relationships/control" Target="activeX/activeX7.xml"/><Relationship Id="rId18" Type="http://schemas.openxmlformats.org/officeDocument/2006/relationships/control" Target="activeX/activeX12.xml"/><Relationship Id="rId26" Type="http://schemas.openxmlformats.org/officeDocument/2006/relationships/control" Target="activeX/activeX20.xml"/><Relationship Id="rId3" Type="http://schemas.openxmlformats.org/officeDocument/2006/relationships/settings" Target="settings.xml"/><Relationship Id="rId21" Type="http://schemas.openxmlformats.org/officeDocument/2006/relationships/control" Target="activeX/activeX15.xml"/><Relationship Id="rId7" Type="http://schemas.openxmlformats.org/officeDocument/2006/relationships/control" Target="activeX/activeX2.xml"/><Relationship Id="rId12" Type="http://schemas.openxmlformats.org/officeDocument/2006/relationships/control" Target="activeX/activeX6.xml"/><Relationship Id="rId17" Type="http://schemas.openxmlformats.org/officeDocument/2006/relationships/control" Target="activeX/activeX11.xml"/><Relationship Id="rId25" Type="http://schemas.openxmlformats.org/officeDocument/2006/relationships/control" Target="activeX/activeX19.xml"/><Relationship Id="rId2" Type="http://schemas.openxmlformats.org/officeDocument/2006/relationships/styles" Target="styles.xml"/><Relationship Id="rId16" Type="http://schemas.openxmlformats.org/officeDocument/2006/relationships/control" Target="activeX/activeX10.xml"/><Relationship Id="rId20" Type="http://schemas.openxmlformats.org/officeDocument/2006/relationships/control" Target="activeX/activeX14.xml"/><Relationship Id="rId29" Type="http://schemas.openxmlformats.org/officeDocument/2006/relationships/control" Target="activeX/activeX23.xml"/><Relationship Id="rId1" Type="http://schemas.openxmlformats.org/officeDocument/2006/relationships/numbering" Target="numbering.xml"/><Relationship Id="rId6" Type="http://schemas.openxmlformats.org/officeDocument/2006/relationships/control" Target="activeX/activeX1.xml"/><Relationship Id="rId11" Type="http://schemas.openxmlformats.org/officeDocument/2006/relationships/control" Target="activeX/activeX5.xml"/><Relationship Id="rId24" Type="http://schemas.openxmlformats.org/officeDocument/2006/relationships/control" Target="activeX/activeX18.xml"/><Relationship Id="rId5" Type="http://schemas.openxmlformats.org/officeDocument/2006/relationships/image" Target="media/image1.wmf"/><Relationship Id="rId15" Type="http://schemas.openxmlformats.org/officeDocument/2006/relationships/control" Target="activeX/activeX9.xml"/><Relationship Id="rId23" Type="http://schemas.openxmlformats.org/officeDocument/2006/relationships/control" Target="activeX/activeX17.xml"/><Relationship Id="rId28" Type="http://schemas.openxmlformats.org/officeDocument/2006/relationships/control" Target="activeX/activeX22.xml"/><Relationship Id="rId10" Type="http://schemas.openxmlformats.org/officeDocument/2006/relationships/image" Target="media/image2.wmf"/><Relationship Id="rId19" Type="http://schemas.openxmlformats.org/officeDocument/2006/relationships/control" Target="activeX/activeX13.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control" Target="activeX/activeX4.xml"/><Relationship Id="rId14" Type="http://schemas.openxmlformats.org/officeDocument/2006/relationships/control" Target="activeX/activeX8.xml"/><Relationship Id="rId22" Type="http://schemas.openxmlformats.org/officeDocument/2006/relationships/control" Target="activeX/activeX16.xml"/><Relationship Id="rId27" Type="http://schemas.openxmlformats.org/officeDocument/2006/relationships/control" Target="activeX/activeX21.xml"/><Relationship Id="rId30" Type="http://schemas.openxmlformats.org/officeDocument/2006/relationships/fontTable" Target="fontTable.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activeX/activeX2.xml><?xml version="1.0" encoding="utf-8"?>
<ax:ocx xmlns:ax="http://schemas.microsoft.com/office/2006/activeX" xmlns:r="http://schemas.openxmlformats.org/officeDocument/2006/relationships" ax:classid="{5512D11A-5CC6-11CF-8D67-00AA00BDCE1D}" ax:persistence="persistStream" r:id="rId1"/>
</file>

<file path=word/activeX/activeX3.xml><?xml version="1.0" encoding="utf-8"?>
<ax:ocx xmlns:ax="http://schemas.microsoft.com/office/2006/activeX" xmlns:r="http://schemas.openxmlformats.org/officeDocument/2006/relationships" ax:classid="{5512D11A-5CC6-11CF-8D67-00AA00BDCE1D}" ax:persistence="persistStream" r:id="rId1"/>
</file>

<file path=word/activeX/activeX4.xml><?xml version="1.0" encoding="utf-8"?>
<ax:ocx xmlns:ax="http://schemas.microsoft.com/office/2006/activeX" xmlns:r="http://schemas.openxmlformats.org/officeDocument/2006/relationships" ax:classid="{5512D11A-5CC6-11CF-8D67-00AA00BDCE1D}" ax:persistence="persistStream" r:id="rId1"/>
</file>

<file path=word/activeX/activeX5.xml><?xml version="1.0" encoding="utf-8"?>
<ax:ocx xmlns:ax="http://schemas.microsoft.com/office/2006/activeX" xmlns:r="http://schemas.openxmlformats.org/officeDocument/2006/relationships" ax:classid="{5512D124-5CC6-11CF-8D67-00AA00BDCE1D}" ax:persistence="persistStream" r:id="rId1"/>
</file>

<file path=word/activeX/activeX6.xml><?xml version="1.0" encoding="utf-8"?>
<ax:ocx xmlns:ax="http://schemas.microsoft.com/office/2006/activeX" xmlns:r="http://schemas.openxmlformats.org/officeDocument/2006/relationships" ax:classid="{5512D11A-5CC6-11CF-8D67-00AA00BDCE1D}" ax:persistence="persistStream" r:id="rId1"/>
</file>

<file path=word/activeX/activeX7.xml><?xml version="1.0" encoding="utf-8"?>
<ax:ocx xmlns:ax="http://schemas.microsoft.com/office/2006/activeX" xmlns:r="http://schemas.openxmlformats.org/officeDocument/2006/relationships" ax:classid="{5512D11A-5CC6-11CF-8D67-00AA00BDCE1D}" ax:persistence="persistStream" r:id="rId1"/>
</file>

<file path=word/activeX/activeX8.xml><?xml version="1.0" encoding="utf-8"?>
<ax:ocx xmlns:ax="http://schemas.microsoft.com/office/2006/activeX" xmlns:r="http://schemas.openxmlformats.org/officeDocument/2006/relationships" ax:classid="{5512D11A-5CC6-11CF-8D67-00AA00BDCE1D}" ax:persistence="persistStream" r:id="rId1"/>
</file>

<file path=word/activeX/activeX9.xml><?xml version="1.0" encoding="utf-8"?>
<ax:ocx xmlns:ax="http://schemas.microsoft.com/office/2006/activeX" xmlns:r="http://schemas.openxmlformats.org/officeDocument/2006/relationships" ax:classid="{5512D11A-5CC6-11CF-8D67-00AA00BDCE1D}" ax:persistence="persistStream" r:id="rId1"/>
</file>

<file path=word/activeX/activeX10.xml><?xml version="1.0" encoding="utf-8"?>
<ax:ocx xmlns:ax="http://schemas.microsoft.com/office/2006/activeX" xmlns:r="http://schemas.openxmlformats.org/officeDocument/2006/relationships" ax:classid="{5512D11A-5CC6-11CF-8D67-00AA00BDCE1D}" ax:persistence="persistStream" r:id="rId1"/>
</file>

<file path=word/activeX/activeX11.xml><?xml version="1.0" encoding="utf-8"?>
<ax:ocx xmlns:ax="http://schemas.microsoft.com/office/2006/activeX" xmlns:r="http://schemas.openxmlformats.org/officeDocument/2006/relationships" ax:classid="{5512D11A-5CC6-11CF-8D67-00AA00BDCE1D}" ax:persistence="persistStream" r:id="rId1"/>
</file>

<file path=word/activeX/activeX12.xml><?xml version="1.0" encoding="utf-8"?>
<ax:ocx xmlns:ax="http://schemas.microsoft.com/office/2006/activeX" xmlns:r="http://schemas.openxmlformats.org/officeDocument/2006/relationships" ax:classid="{5512D11A-5CC6-11CF-8D67-00AA00BDCE1D}" ax:persistence="persistStream" r:id="rId1"/>
</file>

<file path=word/activeX/activeX13.xml><?xml version="1.0" encoding="utf-8"?>
<ax:ocx xmlns:ax="http://schemas.microsoft.com/office/2006/activeX" xmlns:r="http://schemas.openxmlformats.org/officeDocument/2006/relationships" ax:classid="{5512D11A-5CC6-11CF-8D67-00AA00BDCE1D}" ax:persistence="persistStream" r:id="rId1"/>
</file>

<file path=word/activeX/activeX14.xml><?xml version="1.0" encoding="utf-8"?>
<ax:ocx xmlns:ax="http://schemas.microsoft.com/office/2006/activeX" xmlns:r="http://schemas.openxmlformats.org/officeDocument/2006/relationships" ax:classid="{5512D11A-5CC6-11CF-8D67-00AA00BDCE1D}" ax:persistence="persistStream" r:id="rId1"/>
</file>

<file path=word/activeX/activeX15.xml><?xml version="1.0" encoding="utf-8"?>
<ax:ocx xmlns:ax="http://schemas.microsoft.com/office/2006/activeX" xmlns:r="http://schemas.openxmlformats.org/officeDocument/2006/relationships" ax:classid="{5512D11A-5CC6-11CF-8D67-00AA00BDCE1D}" ax:persistence="persistStream" r:id="rId1"/>
</file>

<file path=word/activeX/activeX16.xml><?xml version="1.0" encoding="utf-8"?>
<ax:ocx xmlns:ax="http://schemas.microsoft.com/office/2006/activeX" xmlns:r="http://schemas.openxmlformats.org/officeDocument/2006/relationships" ax:classid="{5512D11A-5CC6-11CF-8D67-00AA00BDCE1D}" ax:persistence="persistStream" r:id="rId1"/>
</file>

<file path=word/activeX/activeX17.xml><?xml version="1.0" encoding="utf-8"?>
<ax:ocx xmlns:ax="http://schemas.microsoft.com/office/2006/activeX" xmlns:r="http://schemas.openxmlformats.org/officeDocument/2006/relationships" ax:classid="{5512D11A-5CC6-11CF-8D67-00AA00BDCE1D}" ax:persistence="persistStream" r:id="rId1"/>
</file>

<file path=word/activeX/activeX18.xml><?xml version="1.0" encoding="utf-8"?>
<ax:ocx xmlns:ax="http://schemas.microsoft.com/office/2006/activeX" xmlns:r="http://schemas.openxmlformats.org/officeDocument/2006/relationships" ax:classid="{5512D11A-5CC6-11CF-8D67-00AA00BDCE1D}" ax:persistence="persistStream" r:id="rId1"/>
</file>

<file path=word/activeX/activeX19.xml><?xml version="1.0" encoding="utf-8"?>
<ax:ocx xmlns:ax="http://schemas.microsoft.com/office/2006/activeX" xmlns:r="http://schemas.openxmlformats.org/officeDocument/2006/relationships" ax:classid="{5512D11A-5CC6-11CF-8D67-00AA00BDCE1D}" ax:persistence="persistStream" r:id="rId1"/>
</file>

<file path=word/activeX/activeX20.xml><?xml version="1.0" encoding="utf-8"?>
<ax:ocx xmlns:ax="http://schemas.microsoft.com/office/2006/activeX" xmlns:r="http://schemas.openxmlformats.org/officeDocument/2006/relationships" ax:classid="{5512D11A-5CC6-11CF-8D67-00AA00BDCE1D}" ax:persistence="persistStream" r:id="rId1"/>
</file>

<file path=word/activeX/activeX21.xml><?xml version="1.0" encoding="utf-8"?>
<ax:ocx xmlns:ax="http://schemas.microsoft.com/office/2006/activeX" xmlns:r="http://schemas.openxmlformats.org/officeDocument/2006/relationships" ax:classid="{5512D11A-5CC6-11CF-8D67-00AA00BDCE1D}" ax:persistence="persistStream" r:id="rId1"/>
</file>

<file path=word/activeX/activeX22.xml><?xml version="1.0" encoding="utf-8"?>
<ax:ocx xmlns:ax="http://schemas.microsoft.com/office/2006/activeX" xmlns:r="http://schemas.openxmlformats.org/officeDocument/2006/relationships" ax:classid="{5512D11A-5CC6-11CF-8D67-00AA00BDCE1D}" ax:persistence="persistStream" r:id="rId1"/>
</file>

<file path=word/activeX/activeX23.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848</Words>
  <Characters>4834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Destiny Ruiz</dc:creator>
  <cp:keywords/>
  <dc:description/>
  <cp:lastModifiedBy>Destiny Ruiz</cp:lastModifiedBy>
  <cp:revision>1</cp:revision>
  <dcterms:created xsi:type="dcterms:W3CDTF">2019-01-16T18:57:00Z</dcterms:created>
  <dcterms:modified xsi:type="dcterms:W3CDTF">2019-01-16T19:05:00Z</dcterms:modified>
</cp:coreProperties>
</file>